
<file path=[Content_Types].xml><?xml version="1.0" encoding="utf-8"?>
<Types xmlns="http://schemas.openxmlformats.org/package/2006/content-types">
  <Default Extension="bin" ContentType="application/vnd.ms-word.attachedToolbars"/>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6D6B" w:rsidRDefault="00596D6B" w:rsidP="00596D6B">
      <w:pPr>
        <w:pStyle w:val="Els-Title"/>
        <w:tabs>
          <w:tab w:val="left" w:pos="996"/>
          <w:tab w:val="center" w:pos="5155"/>
        </w:tabs>
        <w:jc w:val="left"/>
      </w:pPr>
      <w:bookmarkStart w:id="0" w:name="_GoBack"/>
      <w:bookmarkEnd w:id="0"/>
      <w:r>
        <w:tab/>
      </w:r>
    </w:p>
    <w:p w:rsidR="002531DC" w:rsidRDefault="00596D6B" w:rsidP="00596D6B">
      <w:pPr>
        <w:pStyle w:val="Els-Title"/>
        <w:tabs>
          <w:tab w:val="left" w:pos="996"/>
          <w:tab w:val="center" w:pos="5155"/>
        </w:tabs>
        <w:jc w:val="left"/>
      </w:pPr>
      <w:r>
        <w:tab/>
      </w:r>
      <w:r w:rsidR="002531DC">
        <w:fldChar w:fldCharType="begin"/>
      </w:r>
      <w:r w:rsidR="002531DC">
        <w:instrText xml:space="preserve"> MACROBUTTON NoMacro Click here, type the title of your paper, Capitalize first letter</w:instrText>
      </w:r>
      <w:r w:rsidR="002531DC">
        <w:fldChar w:fldCharType="end"/>
      </w:r>
    </w:p>
    <w:p w:rsidR="002531DC" w:rsidRDefault="002531DC">
      <w:pPr>
        <w:pStyle w:val="Els-Author"/>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rsidR="002531DC" w:rsidRDefault="002531DC">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rsidR="002531DC" w:rsidRDefault="002531DC">
      <w:pPr>
        <w:pStyle w:val="Els-Affiliation"/>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p>
    <w:p w:rsidR="002531DC" w:rsidRDefault="002531DC">
      <w:pPr>
        <w:pStyle w:val="Els-Abstract-head"/>
      </w:pPr>
      <w:r>
        <w:t>Abstract</w:t>
      </w:r>
    </w:p>
    <w:p w:rsidR="002531DC" w:rsidRDefault="002531DC">
      <w:pPr>
        <w:pStyle w:val="Els-Abstract-text"/>
        <w:rPr>
          <w:rFonts w:hint="eastAsia"/>
          <w:lang w:eastAsia="zh-CN"/>
        </w:rPr>
      </w:pPr>
      <w:r>
        <w:t xml:space="preserve">Click here and insert </w:t>
      </w:r>
      <w:r>
        <w:rPr>
          <w:rFonts w:hint="eastAsia"/>
          <w:lang w:eastAsia="zh-CN"/>
        </w:rPr>
        <w:t>a</w:t>
      </w:r>
      <w:r>
        <w:rPr>
          <w:lang w:eastAsia="zh-CN"/>
        </w:rPr>
        <w:t xml:space="preserve"> concise and factual abstract </w:t>
      </w:r>
      <w:r>
        <w:rPr>
          <w:rFonts w:hint="eastAsia"/>
          <w:lang w:eastAsia="zh-CN"/>
        </w:rPr>
        <w:t xml:space="preserve">of this paper. </w:t>
      </w:r>
      <w:r>
        <w:rPr>
          <w:lang w:eastAsia="zh-CN"/>
        </w:rPr>
        <w:t>It should consist of one paragraph</w:t>
      </w:r>
      <w:r>
        <w:rPr>
          <w:rFonts w:hint="eastAsia"/>
          <w:lang w:eastAsia="zh-CN"/>
        </w:rPr>
        <w:t xml:space="preserve"> </w:t>
      </w:r>
      <w:r>
        <w:rPr>
          <w:lang w:eastAsia="zh-CN"/>
        </w:rPr>
        <w:t>of 100-300 words. The abstract should state briefly the purpose of the research, the principal results</w:t>
      </w:r>
      <w:r>
        <w:rPr>
          <w:rFonts w:hint="eastAsia"/>
          <w:lang w:eastAsia="zh-CN"/>
        </w:rPr>
        <w:t xml:space="preserve"> </w:t>
      </w:r>
      <w:r>
        <w:rPr>
          <w:lang w:eastAsia="zh-CN"/>
        </w:rPr>
        <w:t>and major conclusions. An abstract is often presented separately from the article, so it must be able</w:t>
      </w:r>
      <w:r>
        <w:rPr>
          <w:rFonts w:hint="eastAsia"/>
          <w:lang w:eastAsia="zh-CN"/>
        </w:rPr>
        <w:t xml:space="preserve"> </w:t>
      </w:r>
      <w:r>
        <w:rPr>
          <w:lang w:eastAsia="zh-CN"/>
        </w:rPr>
        <w:t>to stand alone. For this reason, References should be avoided. Also, non-standard or uncommon abbreviations should be avoided, but if essential they</w:t>
      </w:r>
      <w:r>
        <w:rPr>
          <w:rFonts w:hint="eastAsia"/>
          <w:lang w:eastAsia="zh-CN"/>
        </w:rPr>
        <w:t xml:space="preserve"> </w:t>
      </w:r>
      <w:r>
        <w:rPr>
          <w:lang w:eastAsia="zh-CN"/>
        </w:rPr>
        <w:t>must be defined at their first mention in the abstract itself.</w:t>
      </w:r>
    </w:p>
    <w:p w:rsidR="00997EDF" w:rsidRDefault="00997EDF">
      <w:pPr>
        <w:pStyle w:val="Els-keywords"/>
        <w:jc w:val="both"/>
        <w:rPr>
          <w:i/>
        </w:rPr>
      </w:pPr>
    </w:p>
    <w:p w:rsidR="002531DC" w:rsidRDefault="002531DC">
      <w:pPr>
        <w:pStyle w:val="Els-keywords"/>
        <w:jc w:val="both"/>
      </w:pPr>
      <w:r>
        <w:rPr>
          <w:i/>
        </w:rPr>
        <w:t>Keywords</w:t>
      </w:r>
      <w:r>
        <w:t xml:space="preserve">: </w:t>
      </w:r>
      <w:r>
        <w:fldChar w:fldCharType="begin"/>
      </w:r>
      <w:r>
        <w:instrText xml:space="preserve"> MACROBUTTON NoMacro Type your </w:instrText>
      </w:r>
      <w:r>
        <w:rPr>
          <w:rFonts w:hint="eastAsia"/>
          <w:lang w:eastAsia="zh-CN"/>
        </w:rPr>
        <w:instrText xml:space="preserve">3-5 </w:instrText>
      </w:r>
      <w:r>
        <w:instrText>keywords here, separated by semicolons</w:instrText>
      </w:r>
      <w:r>
        <w:rPr>
          <w:rFonts w:hint="eastAsia"/>
          <w:lang w:eastAsia="zh-CN"/>
        </w:rPr>
        <w:instrText xml:space="preserve">, </w:instrText>
      </w:r>
      <w:r>
        <w:rPr>
          <w:lang w:eastAsia="zh-CN"/>
        </w:rPr>
        <w:instrText>using American spelling and</w:instrText>
      </w:r>
      <w:r>
        <w:rPr>
          <w:rFonts w:hint="eastAsia"/>
          <w:lang w:eastAsia="zh-CN"/>
        </w:rPr>
        <w:instrText xml:space="preserve"> </w:instrText>
      </w:r>
      <w:r>
        <w:rPr>
          <w:lang w:eastAsia="zh-CN"/>
        </w:rPr>
        <w:instrText xml:space="preserve">avoiding general and plural </w:instrText>
      </w:r>
      <w:r>
        <w:fldChar w:fldCharType="end"/>
      </w:r>
      <w:r>
        <w:rPr>
          <w:lang w:eastAsia="zh-CN"/>
        </w:rPr>
        <w:t>terms and multiple concepts (avoid, for example, 'and', 'of'). These keywords</w:t>
      </w:r>
      <w:r>
        <w:rPr>
          <w:rFonts w:hint="eastAsia"/>
          <w:lang w:eastAsia="zh-CN"/>
        </w:rPr>
        <w:t xml:space="preserve"> </w:t>
      </w:r>
      <w:r>
        <w:rPr>
          <w:lang w:eastAsia="zh-CN"/>
        </w:rPr>
        <w:t>will be used for indexing purposes.l</w:t>
      </w:r>
      <w:r>
        <w:t xml:space="preserve"> </w:t>
      </w:r>
    </w:p>
    <w:p w:rsidR="002531DC" w:rsidRDefault="002531DC">
      <w:pPr>
        <w:pBdr>
          <w:top w:val="single" w:sz="4" w:space="1" w:color="auto"/>
          <w:left w:val="single" w:sz="4" w:space="0" w:color="auto"/>
          <w:bottom w:val="single" w:sz="4" w:space="0" w:color="auto"/>
          <w:right w:val="single" w:sz="4" w:space="0" w:color="auto"/>
        </w:pBdr>
        <w:spacing w:line="360" w:lineRule="auto"/>
        <w:ind w:right="132"/>
        <w:jc w:val="both"/>
        <w:rPr>
          <w:b/>
        </w:rPr>
      </w:pPr>
      <w:r>
        <w:rPr>
          <w:rFonts w:hint="eastAsia"/>
          <w:b/>
          <w:lang w:val="en-US" w:eastAsia="zh-CN"/>
        </w:rPr>
        <w:t>N</w:t>
      </w:r>
      <w:r>
        <w:rPr>
          <w:b/>
          <w:lang w:val="en-US"/>
        </w:rPr>
        <w:t>omenclature</w:t>
      </w:r>
    </w:p>
    <w:p w:rsidR="002531DC" w:rsidRDefault="002531DC">
      <w:pPr>
        <w:pBdr>
          <w:top w:val="single" w:sz="4" w:space="1" w:color="auto"/>
          <w:left w:val="single" w:sz="4" w:space="0" w:color="auto"/>
          <w:bottom w:val="single" w:sz="4" w:space="0" w:color="auto"/>
          <w:right w:val="single" w:sz="4" w:space="0" w:color="auto"/>
        </w:pBdr>
        <w:ind w:right="132"/>
        <w:jc w:val="both"/>
        <w:rPr>
          <w:rFonts w:hint="eastAsia"/>
          <w:lang w:eastAsia="zh-CN"/>
        </w:rPr>
      </w:pPr>
      <w:r>
        <w:rPr>
          <w:i/>
          <w:iCs/>
        </w:rPr>
        <w:t>u</w:t>
      </w:r>
      <w:r>
        <w:rPr>
          <w:i/>
          <w:iCs/>
          <w:vertAlign w:val="subscript"/>
        </w:rPr>
        <w:sym w:font="Symbol" w:char="F071"/>
      </w:r>
      <w:r>
        <w:rPr>
          <w:rFonts w:hint="eastAsia"/>
          <w:lang w:eastAsia="zh-CN"/>
        </w:rPr>
        <w:tab/>
        <w:t>velocity in the direction of (m/s)</w:t>
      </w:r>
    </w:p>
    <w:p w:rsidR="002531DC" w:rsidRDefault="002531DC">
      <w:pPr>
        <w:pBdr>
          <w:top w:val="single" w:sz="4" w:space="1" w:color="auto"/>
          <w:left w:val="single" w:sz="4" w:space="0" w:color="auto"/>
          <w:bottom w:val="single" w:sz="4" w:space="0" w:color="auto"/>
          <w:right w:val="single" w:sz="4" w:space="0" w:color="auto"/>
        </w:pBdr>
        <w:ind w:right="132"/>
        <w:jc w:val="both"/>
        <w:rPr>
          <w:rFonts w:hint="eastAsia"/>
          <w:lang w:eastAsia="zh-CN"/>
        </w:rPr>
      </w:pPr>
      <w:r>
        <w:t>A</w:t>
      </w:r>
      <w:r>
        <w:tab/>
        <w:t>radius of</w:t>
      </w:r>
      <w:r>
        <w:rPr>
          <w:rFonts w:hint="eastAsia"/>
          <w:lang w:eastAsia="zh-CN"/>
        </w:rPr>
        <w:t xml:space="preserve"> (m)</w:t>
      </w:r>
    </w:p>
    <w:p w:rsidR="002531DC" w:rsidRDefault="002531DC">
      <w:pPr>
        <w:pBdr>
          <w:top w:val="single" w:sz="4" w:space="1" w:color="auto"/>
          <w:left w:val="single" w:sz="4" w:space="0" w:color="auto"/>
          <w:bottom w:val="single" w:sz="4" w:space="0" w:color="auto"/>
          <w:right w:val="single" w:sz="4" w:space="0" w:color="auto"/>
        </w:pBdr>
        <w:ind w:right="132"/>
        <w:jc w:val="both"/>
      </w:pPr>
      <w:r>
        <w:t xml:space="preserve">B </w:t>
      </w:r>
      <w:r>
        <w:tab/>
        <w:t>position of</w:t>
      </w:r>
    </w:p>
    <w:p w:rsidR="002531DC" w:rsidRDefault="002531DC">
      <w:pPr>
        <w:pBdr>
          <w:top w:val="single" w:sz="4" w:space="1" w:color="auto"/>
          <w:left w:val="single" w:sz="4" w:space="0" w:color="auto"/>
          <w:bottom w:val="single" w:sz="4" w:space="0" w:color="auto"/>
          <w:right w:val="single" w:sz="4" w:space="0" w:color="auto"/>
        </w:pBdr>
        <w:ind w:right="132"/>
        <w:jc w:val="both"/>
        <w:rPr>
          <w:rFonts w:hint="eastAsia"/>
          <w:lang w:eastAsia="zh-CN"/>
        </w:rPr>
      </w:pPr>
      <w:r>
        <w:t>C</w:t>
      </w:r>
      <w:r>
        <w:tab/>
        <w:t>further nomenclature continues down the page inside the text box</w:t>
      </w:r>
    </w:p>
    <w:p w:rsidR="002531DC" w:rsidRDefault="002531DC">
      <w:pPr>
        <w:pBdr>
          <w:top w:val="single" w:sz="4" w:space="1" w:color="auto"/>
          <w:left w:val="single" w:sz="4" w:space="0" w:color="auto"/>
          <w:bottom w:val="single" w:sz="4" w:space="0" w:color="auto"/>
          <w:right w:val="single" w:sz="4" w:space="0" w:color="auto"/>
        </w:pBdr>
        <w:ind w:right="132"/>
        <w:jc w:val="both"/>
        <w:rPr>
          <w:rFonts w:hint="eastAsia"/>
          <w:i/>
          <w:lang w:eastAsia="zh-CN"/>
        </w:rPr>
      </w:pPr>
      <w:r>
        <w:rPr>
          <w:i/>
          <w:lang w:eastAsia="zh-CN"/>
        </w:rPr>
        <w:t>Greek symbols</w:t>
      </w:r>
    </w:p>
    <w:p w:rsidR="002531DC" w:rsidRDefault="002531DC">
      <w:pPr>
        <w:pBdr>
          <w:top w:val="single" w:sz="4" w:space="1" w:color="auto"/>
          <w:left w:val="single" w:sz="4" w:space="0" w:color="auto"/>
          <w:bottom w:val="single" w:sz="4" w:space="0" w:color="auto"/>
          <w:right w:val="single" w:sz="4" w:space="0" w:color="auto"/>
        </w:pBdr>
        <w:ind w:right="132"/>
        <w:jc w:val="both"/>
        <w:rPr>
          <w:rFonts w:hint="eastAsia"/>
          <w:lang w:eastAsia="zh-CN"/>
        </w:rPr>
      </w:pPr>
      <w:r>
        <w:sym w:font="Symbol" w:char="F067"/>
      </w:r>
      <w:r>
        <w:tab/>
        <w:t>stoichiometric coefficient</w:t>
      </w:r>
    </w:p>
    <w:p w:rsidR="002531DC" w:rsidRDefault="002531DC">
      <w:pPr>
        <w:pBdr>
          <w:top w:val="single" w:sz="4" w:space="1" w:color="auto"/>
          <w:left w:val="single" w:sz="4" w:space="0" w:color="auto"/>
          <w:bottom w:val="single" w:sz="4" w:space="0" w:color="auto"/>
          <w:right w:val="single" w:sz="4" w:space="0" w:color="auto"/>
        </w:pBdr>
        <w:ind w:right="132"/>
        <w:jc w:val="both"/>
        <w:rPr>
          <w:rFonts w:hint="eastAsia"/>
          <w:lang w:eastAsia="zh-CN"/>
        </w:rPr>
      </w:pPr>
      <w:r>
        <w:sym w:font="Symbol" w:char="F064"/>
      </w:r>
      <w:r>
        <w:rPr>
          <w:rFonts w:hint="eastAsia"/>
          <w:lang w:eastAsia="zh-CN"/>
        </w:rPr>
        <w:tab/>
      </w:r>
      <w:r>
        <w:t>boundary layer thicknesses</w:t>
      </w:r>
      <w:r>
        <w:rPr>
          <w:rFonts w:hint="eastAsia"/>
          <w:lang w:eastAsia="zh-CN"/>
        </w:rPr>
        <w:t>(m)</w:t>
      </w:r>
    </w:p>
    <w:p w:rsidR="002531DC" w:rsidRDefault="002531DC">
      <w:pPr>
        <w:pBdr>
          <w:top w:val="single" w:sz="4" w:space="1" w:color="auto"/>
          <w:left w:val="single" w:sz="4" w:space="0" w:color="auto"/>
          <w:bottom w:val="single" w:sz="4" w:space="0" w:color="auto"/>
          <w:right w:val="single" w:sz="4" w:space="0" w:color="auto"/>
        </w:pBdr>
        <w:ind w:right="132"/>
        <w:jc w:val="both"/>
        <w:rPr>
          <w:rFonts w:hint="eastAsia"/>
          <w:i/>
          <w:lang w:eastAsia="zh-CN"/>
        </w:rPr>
      </w:pPr>
      <w:r>
        <w:rPr>
          <w:i/>
          <w:lang w:eastAsia="zh-CN"/>
        </w:rPr>
        <w:t>Subscripts</w:t>
      </w:r>
    </w:p>
    <w:p w:rsidR="002531DC" w:rsidRDefault="002531DC">
      <w:pPr>
        <w:pBdr>
          <w:top w:val="single" w:sz="4" w:space="1" w:color="auto"/>
          <w:left w:val="single" w:sz="4" w:space="0" w:color="auto"/>
          <w:bottom w:val="single" w:sz="4" w:space="0" w:color="auto"/>
          <w:right w:val="single" w:sz="4" w:space="0" w:color="auto"/>
        </w:pBdr>
        <w:ind w:right="132"/>
        <w:jc w:val="both"/>
        <w:rPr>
          <w:rFonts w:hint="eastAsia"/>
          <w:lang w:eastAsia="zh-CN"/>
        </w:rPr>
      </w:pPr>
      <w:r>
        <w:rPr>
          <w:rFonts w:hint="eastAsia"/>
          <w:i/>
          <w:lang w:eastAsia="zh-CN"/>
        </w:rPr>
        <w:t>r</w:t>
      </w:r>
      <w:r>
        <w:t xml:space="preserve"> </w:t>
      </w:r>
      <w:r>
        <w:tab/>
        <w:t>radial coordinate</w:t>
      </w:r>
    </w:p>
    <w:p w:rsidR="002531DC" w:rsidRDefault="002531DC">
      <w:pPr>
        <w:pStyle w:val="Els-1storder-head"/>
        <w:jc w:val="both"/>
      </w:pPr>
      <w:r>
        <w:fldChar w:fldCharType="begin"/>
      </w:r>
      <w:r>
        <w:instrText xml:space="preserve"> MACROBUTTON NoMacro Main text </w:instrText>
      </w:r>
      <w:r>
        <w:fldChar w:fldCharType="end"/>
      </w:r>
    </w:p>
    <w:p w:rsidR="002531DC" w:rsidRDefault="002531DC">
      <w:pPr>
        <w:pStyle w:val="Els-body-text"/>
        <w:rPr>
          <w:lang w:eastAsia="zh-CN"/>
        </w:rPr>
      </w:pPr>
      <w:r>
        <w:t>If symbols are used extensively, a nomenclature list arranged alphabetically,</w:t>
      </w:r>
      <w:r>
        <w:rPr>
          <w:rFonts w:hint="eastAsia"/>
          <w:lang w:eastAsia="zh-CN"/>
        </w:rPr>
        <w:t xml:space="preserve"> </w:t>
      </w:r>
      <w:r>
        <w:t xml:space="preserve">with </w:t>
      </w:r>
      <w:r>
        <w:rPr>
          <w:rFonts w:hint="eastAsia"/>
          <w:lang w:eastAsia="zh-CN"/>
        </w:rPr>
        <w:t xml:space="preserve">Greek, </w:t>
      </w:r>
      <w:r>
        <w:t xml:space="preserve">subscript and superscript symbols listed separately, should be provided. </w:t>
      </w:r>
      <w:r>
        <w:rPr>
          <w:rFonts w:hint="eastAsia"/>
          <w:lang w:eastAsia="zh-CN"/>
        </w:rPr>
        <w:t>P</w:t>
      </w:r>
      <w:r>
        <w:t xml:space="preserve">ut a nomenclature </w:t>
      </w:r>
      <w:r>
        <w:rPr>
          <w:rFonts w:hint="eastAsia"/>
        </w:rPr>
        <w:t xml:space="preserve">above the main text </w:t>
      </w:r>
      <w:r>
        <w:t>if necessary, in a box with the same font size as the rest of the paper. Otherwise all symbols</w:t>
      </w:r>
      <w:r>
        <w:rPr>
          <w:rFonts w:hint="eastAsia"/>
          <w:lang w:eastAsia="zh-CN"/>
        </w:rPr>
        <w:t xml:space="preserve"> </w:t>
      </w:r>
      <w:r>
        <w:t xml:space="preserve">should be identified when first used in the text. </w:t>
      </w:r>
      <w:r>
        <w:rPr>
          <w:rFonts w:hint="eastAsia"/>
          <w:lang w:eastAsia="zh-CN"/>
        </w:rPr>
        <w:t xml:space="preserve">The unit of the nomenclatures should be clarified following the description text. </w:t>
      </w:r>
      <w:r>
        <w:t>Authors are expected to use the SI system of units.</w:t>
      </w:r>
      <w:r>
        <w:rPr>
          <w:rFonts w:hint="eastAsia"/>
          <w:lang w:eastAsia="zh-CN"/>
        </w:rPr>
        <w:t xml:space="preserve">  Use Mathtype software to edit </w:t>
      </w:r>
      <w:r>
        <w:t>nomenclature</w:t>
      </w:r>
      <w:r>
        <w:rPr>
          <w:rFonts w:hint="eastAsia"/>
          <w:lang w:eastAsia="zh-CN"/>
        </w:rPr>
        <w:t>s with</w:t>
      </w:r>
      <w:r>
        <w:t xml:space="preserve"> </w:t>
      </w:r>
      <w:r>
        <w:rPr>
          <w:rFonts w:hint="eastAsia"/>
          <w:lang w:eastAsia="zh-CN"/>
        </w:rPr>
        <w:t xml:space="preserve">Greek characters. </w:t>
      </w:r>
      <w:r>
        <w:t xml:space="preserve">Here introduce the paper, </w:t>
      </w:r>
      <w:r>
        <w:rPr>
          <w:rFonts w:hint="eastAsia"/>
          <w:lang w:eastAsia="zh-CN"/>
        </w:rPr>
        <w:t>and t</w:t>
      </w:r>
      <w:r>
        <w:t>he paragraphs continue from here and are only separated by headings, subheadings, images and formulae. The section headings are arranged by numbers, bold and 10 pt. Here follows further instructions for authors.</w:t>
      </w:r>
    </w:p>
    <w:p w:rsidR="002531DC" w:rsidRDefault="002531DC">
      <w:pPr>
        <w:pStyle w:val="Els-2ndorder-head"/>
        <w:ind w:left="0"/>
        <w:jc w:val="both"/>
      </w:pPr>
      <w:r>
        <w:lastRenderedPageBreak/>
        <w:t>General guidelines for the preparation of your text</w:t>
      </w:r>
    </w:p>
    <w:p w:rsidR="00122EBC" w:rsidRDefault="002531DC" w:rsidP="00122EBC">
      <w:pPr>
        <w:pStyle w:val="Els-body-text"/>
        <w:rPr>
          <w:color w:val="000000"/>
          <w:lang w:eastAsia="zh-CN"/>
        </w:rPr>
      </w:pPr>
      <w:r>
        <w:t>Avoid hyphenation at the e</w:t>
      </w:r>
      <w:r>
        <w:rPr>
          <w:color w:val="000000"/>
        </w:rPr>
        <w:t xml:space="preserve">nd of a line. Symbols denoting vectors and matrices should be indicated in bold type. Scalar variable names should normally be expressed using italics. Weights and measures should be expressed in SI units. Please title your files in this order </w:t>
      </w:r>
      <w:r>
        <w:rPr>
          <w:rFonts w:hint="eastAsia"/>
          <w:color w:val="000000"/>
          <w:lang w:eastAsia="zh-CN"/>
        </w:rPr>
        <w:t>9thaosfst</w:t>
      </w:r>
      <w:r>
        <w:rPr>
          <w:color w:val="000000"/>
        </w:rPr>
        <w:t>_authorslastname.pdf</w:t>
      </w:r>
      <w:r w:rsidR="00122EBC">
        <w:rPr>
          <w:rFonts w:hint="eastAsia"/>
          <w:color w:val="000000"/>
          <w:lang w:eastAsia="zh-CN"/>
        </w:rPr>
        <w:t xml:space="preserve">. </w:t>
      </w:r>
    </w:p>
    <w:p w:rsidR="00122EBC" w:rsidRDefault="00122EBC" w:rsidP="00122EBC">
      <w:pPr>
        <w:pStyle w:val="Els-body-text"/>
        <w:rPr>
          <w:color w:val="000000"/>
          <w:lang w:eastAsia="zh-CN"/>
        </w:rPr>
      </w:pPr>
      <w:r>
        <w:rPr>
          <w:color w:val="000000"/>
          <w:lang w:eastAsia="zh-CN"/>
        </w:rPr>
        <w:t xml:space="preserve">Paper length: The </w:t>
      </w:r>
      <w:r>
        <w:rPr>
          <w:b/>
          <w:bCs/>
          <w:color w:val="000000"/>
          <w:lang w:eastAsia="zh-CN"/>
        </w:rPr>
        <w:t>maximum</w:t>
      </w:r>
      <w:r>
        <w:rPr>
          <w:color w:val="000000"/>
          <w:lang w:eastAsia="zh-CN"/>
        </w:rPr>
        <w:t xml:space="preserve"> length of any full paper contribution will be 8 printed pages. </w:t>
      </w:r>
    </w:p>
    <w:p w:rsidR="002531DC" w:rsidRDefault="00BE461A">
      <w:pPr>
        <w:pStyle w:val="Els-body-text"/>
      </w:pPr>
      <w:r>
        <w:t>For this Proceedings</w:t>
      </w:r>
      <w:r w:rsidR="002531DC">
        <w:t xml:space="preserve"> the files must be in MS Word format only and should be formatted for direct printing. Figures and tables should be embedded and not supplied separately. Please make sure that you use as much as possible normal fonts in your documents. </w:t>
      </w:r>
    </w:p>
    <w:p w:rsidR="002531DC" w:rsidRDefault="002531DC">
      <w:pPr>
        <w:pStyle w:val="Els-body-text"/>
      </w:pPr>
      <w:r>
        <w:t>Special fonts, such as fonts used in the Far East (Japanese, Chinese, Korean, etc.) may cause problems during processing. To avoid unnecessary errors you are strongly advised to use the ‘spellchecker’ function of MS Word.</w:t>
      </w:r>
    </w:p>
    <w:p w:rsidR="002531DC" w:rsidRDefault="002531DC">
      <w:pPr>
        <w:pStyle w:val="Els-body-text"/>
        <w:rPr>
          <w:rFonts w:hint="eastAsia"/>
          <w:lang w:eastAsia="zh-CN"/>
        </w:rPr>
      </w:pPr>
      <w:r>
        <w:t>As indicated in the template, papers should be prepared in</w:t>
      </w:r>
      <w:r>
        <w:rPr>
          <w:rFonts w:hint="eastAsia"/>
          <w:lang w:eastAsia="zh-CN"/>
        </w:rPr>
        <w:t xml:space="preserve"> </w:t>
      </w:r>
      <w:r>
        <w:t>single column format suit</w:t>
      </w:r>
      <w:r w:rsidR="00BE461A">
        <w:t>able for direct printing onto letter</w:t>
      </w:r>
      <w:r>
        <w:rPr>
          <w:rFonts w:hint="eastAsia"/>
          <w:lang w:eastAsia="zh-CN"/>
        </w:rPr>
        <w:t xml:space="preserve"> </w:t>
      </w:r>
      <w:r w:rsidR="00BE461A">
        <w:t>paper (8.5in x 11in/216mm x 279</w:t>
      </w:r>
      <w:r>
        <w:t>mm). Do not number pages on the front, as page numbers will be added separately for the preprints and the Proceedings. Leave a line clear between paragraphs.</w:t>
      </w:r>
    </w:p>
    <w:p w:rsidR="002531DC" w:rsidRDefault="002531DC">
      <w:pPr>
        <w:pStyle w:val="Els-body-text"/>
      </w:pPr>
      <w:r>
        <w:t>Bulleted lists may be included and should look like this:</w:t>
      </w:r>
    </w:p>
    <w:p w:rsidR="002531DC" w:rsidRDefault="002531DC">
      <w:pPr>
        <w:pStyle w:val="Els-bulletlist"/>
        <w:numPr>
          <w:ilvl w:val="0"/>
          <w:numId w:val="8"/>
        </w:numPr>
        <w:jc w:val="both"/>
      </w:pPr>
      <w:r>
        <w:t>First point</w:t>
      </w:r>
    </w:p>
    <w:p w:rsidR="002531DC" w:rsidRDefault="002531DC">
      <w:pPr>
        <w:pStyle w:val="Els-bulletlist"/>
        <w:numPr>
          <w:ilvl w:val="0"/>
          <w:numId w:val="8"/>
        </w:numPr>
        <w:jc w:val="both"/>
      </w:pPr>
      <w:r>
        <w:t>Second point</w:t>
      </w:r>
    </w:p>
    <w:p w:rsidR="002531DC" w:rsidRDefault="002531DC">
      <w:pPr>
        <w:pStyle w:val="Els-bulletlist"/>
        <w:numPr>
          <w:ilvl w:val="0"/>
          <w:numId w:val="8"/>
        </w:numPr>
        <w:jc w:val="both"/>
        <w:rPr>
          <w:rFonts w:hint="eastAsia"/>
        </w:rPr>
      </w:pPr>
      <w:r>
        <w:t>And so on</w:t>
      </w:r>
    </w:p>
    <w:p w:rsidR="002531DC" w:rsidRDefault="002531DC">
      <w:pPr>
        <w:pStyle w:val="Els-2ndorder-head"/>
        <w:ind w:left="0"/>
        <w:jc w:val="both"/>
        <w:rPr>
          <w:color w:val="000000"/>
        </w:rPr>
      </w:pPr>
      <w:r>
        <w:rPr>
          <w:color w:val="000000"/>
        </w:rPr>
        <w:t>Structure</w:t>
      </w:r>
    </w:p>
    <w:p w:rsidR="002531DC" w:rsidRDefault="002531DC">
      <w:pPr>
        <w:pStyle w:val="Els-body-text"/>
      </w:pPr>
      <w:r>
        <w:t>Follow this order when typing manuscripts: Title, Authors, Affiliations, Abstract, Keywords, Main text (including figures and tables), Acknowledgements, References, and Appendix. Collate acknowledgements in a separate section at the end of the article and do not include them on the title page, as a footnote to the title or otherwise.</w:t>
      </w:r>
    </w:p>
    <w:p w:rsidR="002531DC" w:rsidRDefault="002531DC">
      <w:pPr>
        <w:pStyle w:val="Els-body-text"/>
        <w:rPr>
          <w:rFonts w:hint="eastAsia"/>
          <w:lang w:eastAsia="zh-CN"/>
        </w:rPr>
      </w:pPr>
      <w:r>
        <w:t xml:space="preserve">Please do not alter the formatting and style layouts which have been set up in this template document. </w:t>
      </w:r>
      <w:r>
        <w:rPr>
          <w:rFonts w:hint="eastAsia"/>
          <w:lang w:eastAsia="zh-CN"/>
        </w:rPr>
        <w:t>Whenever necessary, use the tool of Format Brush in the Word to copy the styles of any section.</w:t>
      </w:r>
    </w:p>
    <w:p w:rsidR="002531DC" w:rsidRDefault="002531DC">
      <w:pPr>
        <w:pStyle w:val="Els-2ndorder-head"/>
        <w:ind w:left="0"/>
        <w:jc w:val="both"/>
      </w:pPr>
      <w:r>
        <w:t>Section headings</w:t>
      </w:r>
    </w:p>
    <w:p w:rsidR="002531DC" w:rsidRDefault="002531DC">
      <w:pPr>
        <w:pStyle w:val="Els-body-text"/>
      </w:pPr>
      <w:r>
        <w:t>Section headings should be left justified, with the first letter capitalized and numbered consecutively, starting with the Introduction. Sub-section headings should be in capital and lower-case italic letters, numbered 1.1, 1.2, etc, and left justified, with second and subsequent lines indented. You may need to insert a page break to keep a heading with its text.</w:t>
      </w:r>
    </w:p>
    <w:p w:rsidR="002531DC" w:rsidRDefault="002531DC">
      <w:pPr>
        <w:pStyle w:val="Els-1storder-head"/>
      </w:pPr>
      <w:r>
        <w:fldChar w:fldCharType="begin"/>
      </w:r>
      <w:r>
        <w:instrText xml:space="preserve"> MACROBUTTON NoMacro Main text </w:instrText>
      </w:r>
      <w:r>
        <w:fldChar w:fldCharType="end"/>
      </w:r>
      <w:r>
        <w:rPr>
          <w:rFonts w:hint="eastAsia"/>
          <w:lang w:eastAsia="zh-CN"/>
        </w:rPr>
        <w:t>II</w:t>
      </w:r>
    </w:p>
    <w:p w:rsidR="002531DC" w:rsidRDefault="002531DC">
      <w:pPr>
        <w:pStyle w:val="Els-2ndorder-head"/>
        <w:ind w:left="0"/>
        <w:jc w:val="both"/>
      </w:pPr>
      <w:r>
        <w:t>Tables</w:t>
      </w:r>
    </w:p>
    <w:p w:rsidR="002531DC" w:rsidRDefault="002531DC">
      <w:pPr>
        <w:pStyle w:val="Els-body-text"/>
      </w:pPr>
      <w:r>
        <w:t xml:space="preserve">All tables should be numbered with Arabic numerals. Headings should be placed above tables, </w:t>
      </w:r>
      <w:r>
        <w:rPr>
          <w:rFonts w:hint="eastAsia"/>
          <w:lang w:eastAsia="zh-CN"/>
        </w:rPr>
        <w:t xml:space="preserve">center </w:t>
      </w:r>
      <w:r>
        <w:t>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rsidR="002531DC" w:rsidRDefault="002531DC">
      <w:pPr>
        <w:pStyle w:val="Els-caption"/>
      </w:pPr>
      <w:r>
        <w:t xml:space="preserve">                                              Table 1. An example of a table</w:t>
      </w:r>
    </w:p>
    <w:tbl>
      <w:tblPr>
        <w:tblW w:w="0" w:type="auto"/>
        <w:jc w:val="center"/>
        <w:tblLook w:val="01E0" w:firstRow="1" w:lastRow="1" w:firstColumn="1" w:lastColumn="1" w:noHBand="0" w:noVBand="0"/>
      </w:tblPr>
      <w:tblGrid>
        <w:gridCol w:w="2187"/>
        <w:gridCol w:w="2027"/>
        <w:gridCol w:w="1963"/>
      </w:tblGrid>
      <w:tr w:rsidR="002531DC">
        <w:trPr>
          <w:trHeight w:val="465"/>
          <w:jc w:val="center"/>
        </w:trPr>
        <w:tc>
          <w:tcPr>
            <w:tcW w:w="2187" w:type="dxa"/>
            <w:tcBorders>
              <w:top w:val="single" w:sz="4" w:space="0" w:color="auto"/>
              <w:bottom w:val="single" w:sz="4" w:space="0" w:color="auto"/>
            </w:tcBorders>
          </w:tcPr>
          <w:p w:rsidR="002531DC" w:rsidRDefault="002531DC">
            <w:pPr>
              <w:pStyle w:val="Els-table-text"/>
              <w:jc w:val="both"/>
            </w:pPr>
            <w:r>
              <w:t>An example of a column heading</w:t>
            </w:r>
          </w:p>
        </w:tc>
        <w:tc>
          <w:tcPr>
            <w:tcW w:w="2027" w:type="dxa"/>
            <w:tcBorders>
              <w:top w:val="single" w:sz="4" w:space="0" w:color="auto"/>
              <w:bottom w:val="single" w:sz="4" w:space="0" w:color="auto"/>
            </w:tcBorders>
          </w:tcPr>
          <w:p w:rsidR="002531DC" w:rsidRDefault="002531DC">
            <w:pPr>
              <w:pStyle w:val="Els-table-text"/>
              <w:jc w:val="both"/>
            </w:pPr>
            <w:r>
              <w:t>Column A (</w:t>
            </w:r>
            <w:r>
              <w:rPr>
                <w:i/>
              </w:rPr>
              <w:t>t</w:t>
            </w:r>
            <w:r>
              <w:t>)</w:t>
            </w:r>
          </w:p>
        </w:tc>
        <w:tc>
          <w:tcPr>
            <w:tcW w:w="1963" w:type="dxa"/>
            <w:tcBorders>
              <w:top w:val="single" w:sz="4" w:space="0" w:color="auto"/>
              <w:bottom w:val="single" w:sz="4" w:space="0" w:color="auto"/>
            </w:tcBorders>
          </w:tcPr>
          <w:p w:rsidR="002531DC" w:rsidRDefault="002531DC">
            <w:pPr>
              <w:pStyle w:val="Els-table-text"/>
              <w:jc w:val="both"/>
            </w:pPr>
            <w:r>
              <w:t>Column B (</w:t>
            </w:r>
            <w:r>
              <w:rPr>
                <w:i/>
              </w:rPr>
              <w:t>T</w:t>
            </w:r>
            <w:r>
              <w:t>)</w:t>
            </w:r>
          </w:p>
        </w:tc>
      </w:tr>
      <w:tr w:rsidR="002531DC">
        <w:trPr>
          <w:trHeight w:val="262"/>
          <w:jc w:val="center"/>
        </w:trPr>
        <w:tc>
          <w:tcPr>
            <w:tcW w:w="2187" w:type="dxa"/>
            <w:tcBorders>
              <w:top w:val="single" w:sz="4" w:space="0" w:color="auto"/>
            </w:tcBorders>
          </w:tcPr>
          <w:p w:rsidR="002531DC" w:rsidRDefault="002531DC">
            <w:pPr>
              <w:pStyle w:val="Els-table-text"/>
              <w:jc w:val="both"/>
            </w:pPr>
            <w:r>
              <w:t>And an entry</w:t>
            </w:r>
          </w:p>
        </w:tc>
        <w:tc>
          <w:tcPr>
            <w:tcW w:w="2027" w:type="dxa"/>
            <w:tcBorders>
              <w:top w:val="single" w:sz="4" w:space="0" w:color="auto"/>
            </w:tcBorders>
          </w:tcPr>
          <w:p w:rsidR="002531DC" w:rsidRDefault="002531DC">
            <w:pPr>
              <w:pStyle w:val="Els-table-text"/>
              <w:jc w:val="both"/>
            </w:pPr>
            <w:r>
              <w:t>1</w:t>
            </w:r>
          </w:p>
        </w:tc>
        <w:tc>
          <w:tcPr>
            <w:tcW w:w="1963" w:type="dxa"/>
            <w:tcBorders>
              <w:top w:val="single" w:sz="4" w:space="0" w:color="auto"/>
            </w:tcBorders>
          </w:tcPr>
          <w:p w:rsidR="002531DC" w:rsidRDefault="002531DC">
            <w:pPr>
              <w:pStyle w:val="Els-table-text"/>
              <w:jc w:val="both"/>
            </w:pPr>
            <w:r>
              <w:t>2</w:t>
            </w:r>
          </w:p>
        </w:tc>
      </w:tr>
      <w:tr w:rsidR="002531DC">
        <w:trPr>
          <w:trHeight w:val="276"/>
          <w:jc w:val="center"/>
        </w:trPr>
        <w:tc>
          <w:tcPr>
            <w:tcW w:w="2187" w:type="dxa"/>
          </w:tcPr>
          <w:p w:rsidR="002531DC" w:rsidRDefault="002531DC">
            <w:pPr>
              <w:pStyle w:val="Els-table-text"/>
              <w:jc w:val="both"/>
            </w:pPr>
            <w:r>
              <w:t>And another entry</w:t>
            </w:r>
          </w:p>
        </w:tc>
        <w:tc>
          <w:tcPr>
            <w:tcW w:w="2027" w:type="dxa"/>
          </w:tcPr>
          <w:p w:rsidR="002531DC" w:rsidRDefault="002531DC">
            <w:pPr>
              <w:pStyle w:val="Els-table-text"/>
              <w:jc w:val="both"/>
            </w:pPr>
            <w:r>
              <w:t>3</w:t>
            </w:r>
          </w:p>
        </w:tc>
        <w:tc>
          <w:tcPr>
            <w:tcW w:w="1963" w:type="dxa"/>
          </w:tcPr>
          <w:p w:rsidR="002531DC" w:rsidRDefault="002531DC">
            <w:pPr>
              <w:pStyle w:val="Els-table-text"/>
              <w:jc w:val="both"/>
            </w:pPr>
            <w:r>
              <w:t>4</w:t>
            </w:r>
          </w:p>
        </w:tc>
      </w:tr>
      <w:tr w:rsidR="002531DC">
        <w:trPr>
          <w:trHeight w:val="276"/>
          <w:jc w:val="center"/>
        </w:trPr>
        <w:tc>
          <w:tcPr>
            <w:tcW w:w="2187" w:type="dxa"/>
            <w:tcBorders>
              <w:bottom w:val="single" w:sz="4" w:space="0" w:color="auto"/>
            </w:tcBorders>
          </w:tcPr>
          <w:p w:rsidR="002531DC" w:rsidRDefault="002531DC">
            <w:pPr>
              <w:pStyle w:val="Els-table-text"/>
              <w:jc w:val="both"/>
            </w:pPr>
            <w:r>
              <w:t>And another entry</w:t>
            </w:r>
          </w:p>
        </w:tc>
        <w:tc>
          <w:tcPr>
            <w:tcW w:w="2027" w:type="dxa"/>
            <w:tcBorders>
              <w:bottom w:val="single" w:sz="4" w:space="0" w:color="auto"/>
            </w:tcBorders>
          </w:tcPr>
          <w:p w:rsidR="002531DC" w:rsidRDefault="002531DC">
            <w:pPr>
              <w:pStyle w:val="Els-table-text"/>
              <w:jc w:val="both"/>
            </w:pPr>
            <w:r>
              <w:t>5</w:t>
            </w:r>
          </w:p>
        </w:tc>
        <w:tc>
          <w:tcPr>
            <w:tcW w:w="1963" w:type="dxa"/>
            <w:tcBorders>
              <w:bottom w:val="single" w:sz="4" w:space="0" w:color="auto"/>
            </w:tcBorders>
          </w:tcPr>
          <w:p w:rsidR="002531DC" w:rsidRDefault="002531DC">
            <w:pPr>
              <w:pStyle w:val="Els-table-text"/>
              <w:jc w:val="both"/>
            </w:pPr>
            <w:r>
              <w:t>6</w:t>
            </w:r>
          </w:p>
        </w:tc>
      </w:tr>
    </w:tbl>
    <w:p w:rsidR="002531DC" w:rsidRDefault="002531DC">
      <w:pPr>
        <w:pStyle w:val="Els-body-text"/>
        <w:rPr>
          <w:rFonts w:hint="eastAsia"/>
          <w:lang w:eastAsia="zh-CN"/>
        </w:rPr>
      </w:pPr>
    </w:p>
    <w:p w:rsidR="002531DC" w:rsidRDefault="002531DC">
      <w:pPr>
        <w:pStyle w:val="Els-body-text"/>
        <w:rPr>
          <w:rFonts w:hint="eastAsia"/>
          <w:lang w:eastAsia="zh-CN"/>
        </w:rPr>
      </w:pPr>
      <w:r>
        <w:rPr>
          <w:rFonts w:hint="eastAsia"/>
          <w:lang w:eastAsia="zh-CN"/>
        </w:rPr>
        <w:lastRenderedPageBreak/>
        <w:t>If t</w:t>
      </w:r>
      <w:r>
        <w:rPr>
          <w:lang w:eastAsia="zh-CN"/>
        </w:rPr>
        <w:t>able footnotes</w:t>
      </w:r>
      <w:r>
        <w:rPr>
          <w:rFonts w:hint="eastAsia"/>
          <w:lang w:eastAsia="zh-CN"/>
        </w:rPr>
        <w:t xml:space="preserve"> </w:t>
      </w:r>
      <w:r>
        <w:rPr>
          <w:lang w:eastAsia="zh-CN"/>
        </w:rPr>
        <w:t>should</w:t>
      </w:r>
      <w:r>
        <w:rPr>
          <w:rFonts w:hint="eastAsia"/>
          <w:lang w:eastAsia="zh-CN"/>
        </w:rPr>
        <w:t xml:space="preserve"> be used, p</w:t>
      </w:r>
      <w:r>
        <w:rPr>
          <w:lang w:eastAsia="zh-CN"/>
        </w:rPr>
        <w:t>lace footnotes to tables</w:t>
      </w:r>
      <w:r>
        <w:rPr>
          <w:rFonts w:hint="eastAsia"/>
          <w:lang w:eastAsia="zh-CN"/>
        </w:rPr>
        <w:t xml:space="preserve"> </w:t>
      </w:r>
      <w:r>
        <w:rPr>
          <w:lang w:eastAsia="zh-CN"/>
        </w:rPr>
        <w:t>below the table body and indicate them with superscript lowercase letters. Be</w:t>
      </w:r>
      <w:r>
        <w:rPr>
          <w:rFonts w:hint="eastAsia"/>
          <w:lang w:eastAsia="zh-CN"/>
        </w:rPr>
        <w:t xml:space="preserve"> </w:t>
      </w:r>
      <w:r>
        <w:rPr>
          <w:lang w:eastAsia="zh-CN"/>
        </w:rPr>
        <w:t>sparing in the use of tables and ensure that the data presented in tables do not duplicate results</w:t>
      </w:r>
      <w:r>
        <w:rPr>
          <w:rFonts w:hint="eastAsia"/>
          <w:lang w:eastAsia="zh-CN"/>
        </w:rPr>
        <w:t xml:space="preserve"> </w:t>
      </w:r>
      <w:r>
        <w:rPr>
          <w:lang w:eastAsia="zh-CN"/>
        </w:rPr>
        <w:t>described elsewhere in the article.</w:t>
      </w:r>
      <w:r>
        <w:rPr>
          <w:rFonts w:hint="eastAsia"/>
          <w:lang w:eastAsia="zh-CN"/>
        </w:rPr>
        <w:t xml:space="preserve"> </w:t>
      </w:r>
    </w:p>
    <w:p w:rsidR="002531DC" w:rsidRDefault="002531DC">
      <w:pPr>
        <w:pStyle w:val="Els-2ndorder-head"/>
        <w:ind w:left="0"/>
        <w:jc w:val="both"/>
      </w:pPr>
      <w:r>
        <w:t xml:space="preserve"> </w:t>
      </w:r>
      <w:r>
        <w:tab/>
      </w:r>
      <w:r>
        <w:tab/>
        <w:t xml:space="preserve">      Author Artwork</w:t>
      </w:r>
    </w:p>
    <w:p w:rsidR="002531DC" w:rsidRDefault="002531DC">
      <w:pPr>
        <w:pStyle w:val="Els-body-text"/>
        <w:rPr>
          <w:rFonts w:hint="eastAsia"/>
          <w:lang w:eastAsia="zh-CN"/>
        </w:rPr>
      </w:pPr>
      <w:r>
        <w:t xml:space="preserve">All figures should be numbered with Arabic numerals (1,2,...n). All photographs, schemas, graphs and diagrams are to be referred to as figures. </w:t>
      </w:r>
    </w:p>
    <w:p w:rsidR="002531DC" w:rsidRDefault="002531DC">
      <w:pPr>
        <w:pStyle w:val="Els-body-text"/>
        <w:rPr>
          <w:rFonts w:hint="eastAsia"/>
          <w:lang w:eastAsia="zh-CN"/>
        </w:rPr>
      </w:pPr>
      <w:r>
        <w:t>Make sure you use uniform lettering and sizing of your original artwork.</w:t>
      </w:r>
      <w:r>
        <w:rPr>
          <w:rFonts w:hint="eastAsia"/>
          <w:lang w:eastAsia="zh-CN"/>
        </w:rPr>
        <w:t xml:space="preserve"> </w:t>
      </w:r>
      <w:r>
        <w:rPr>
          <w:lang w:eastAsia="zh-CN"/>
        </w:rPr>
        <w:t>Only use the following fonts in your illustrations: Arial, Courier, Times, Symbol.</w:t>
      </w:r>
      <w:r>
        <w:rPr>
          <w:rFonts w:hint="eastAsia"/>
          <w:lang w:eastAsia="zh-CN"/>
        </w:rPr>
        <w:t xml:space="preserve"> </w:t>
      </w:r>
    </w:p>
    <w:p w:rsidR="002531DC" w:rsidRDefault="002531DC">
      <w:pPr>
        <w:pStyle w:val="Els-body-text"/>
        <w:rPr>
          <w:rFonts w:hint="eastAsia"/>
          <w:lang w:eastAsia="zh-CN"/>
        </w:rPr>
      </w:pPr>
      <w:r>
        <w:t xml:space="preserve">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w:t>
      </w:r>
    </w:p>
    <w:p w:rsidR="002531DC" w:rsidRDefault="002531DC">
      <w:pPr>
        <w:pStyle w:val="Els-body-text"/>
        <w:rPr>
          <w:rFonts w:hint="eastAsia"/>
          <w:lang w:eastAsia="zh-CN"/>
        </w:rPr>
      </w:pPr>
      <w:r>
        <w:t>Figures should be placed at the top or bottom of a page wherever possible, as close as possible to the first reference to them in the paper.</w:t>
      </w:r>
    </w:p>
    <w:p w:rsidR="002531DC" w:rsidRDefault="002531DC">
      <w:pPr>
        <w:pStyle w:val="Els-body-text"/>
        <w:rPr>
          <w:rFonts w:hint="eastAsia"/>
          <w:lang w:eastAsia="zh-CN"/>
        </w:rPr>
      </w:pPr>
      <w:r>
        <w:rPr>
          <w:rFonts w:hint="eastAsia"/>
          <w:lang w:eastAsia="zh-CN"/>
        </w:rPr>
        <w:t xml:space="preserve">All figures should be center aligned. </w:t>
      </w:r>
      <w:r>
        <w:rPr>
          <w:lang w:eastAsia="zh-CN"/>
        </w:rPr>
        <w:t>The figure number and caption should be typed below</w:t>
      </w:r>
      <w:r>
        <w:rPr>
          <w:rFonts w:hint="eastAsia"/>
          <w:lang w:eastAsia="zh-CN"/>
        </w:rPr>
        <w:t xml:space="preserve"> </w:t>
      </w:r>
      <w:r>
        <w:rPr>
          <w:lang w:eastAsia="zh-CN"/>
        </w:rPr>
        <w:t xml:space="preserve">the </w:t>
      </w:r>
      <w:r>
        <w:rPr>
          <w:rFonts w:hint="eastAsia"/>
          <w:lang w:eastAsia="zh-CN"/>
        </w:rPr>
        <w:t xml:space="preserve">figures </w:t>
      </w:r>
      <w:r>
        <w:t xml:space="preserve">in </w:t>
      </w:r>
      <w:r>
        <w:rPr>
          <w:rFonts w:hint="eastAsia"/>
          <w:lang w:eastAsia="zh-CN"/>
        </w:rPr>
        <w:t>8</w:t>
      </w:r>
      <w:r>
        <w:t xml:space="preserve"> pt</w:t>
      </w:r>
      <w:r>
        <w:rPr>
          <w:lang w:eastAsia="zh-CN"/>
        </w:rPr>
        <w:t>, left justified, with subsequent lines indented.</w:t>
      </w:r>
    </w:p>
    <w:p w:rsidR="002531DC" w:rsidRDefault="002531DC">
      <w:pPr>
        <w:pStyle w:val="Els-body-text"/>
        <w:rPr>
          <w:rFonts w:hint="eastAsia"/>
          <w:lang w:eastAsia="zh-CN"/>
        </w:rPr>
      </w:pPr>
      <w:r>
        <w:t>Artwork has no text along the side of it in the main body of the text. However, if two images fit next to each other, these may be placed next to each other to save space, see Fig 1.</w:t>
      </w:r>
    </w:p>
    <w:p w:rsidR="002531DC" w:rsidRDefault="002531DC">
      <w:pPr>
        <w:spacing w:beforeLines="100" w:before="240" w:line="360" w:lineRule="auto"/>
        <w:jc w:val="center"/>
      </w:pPr>
      <w:r>
        <w:rPr>
          <w:rFonts w:hint="eastAsia"/>
          <w:noProof/>
          <w:lang w:val="en-US" w:eastAsia="zh-CN"/>
        </w:rPr>
        <w:t xml:space="preserve">(a) </w:t>
      </w:r>
      <w:r w:rsidR="005F6D60">
        <w:rPr>
          <w:noProof/>
          <w:lang w:val="en-US"/>
        </w:rPr>
        <w:drawing>
          <wp:inline distT="0" distB="0" distL="0" distR="0">
            <wp:extent cx="2263140" cy="1287780"/>
            <wp:effectExtent l="0" t="0" r="0" b="0"/>
            <wp:docPr id="2" name="Picture 1"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9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3140" cy="1287780"/>
                    </a:xfrm>
                    <a:prstGeom prst="rect">
                      <a:avLst/>
                    </a:prstGeom>
                    <a:noFill/>
                    <a:ln>
                      <a:noFill/>
                    </a:ln>
                  </pic:spPr>
                </pic:pic>
              </a:graphicData>
            </a:graphic>
          </wp:inline>
        </w:drawing>
      </w:r>
      <w:r>
        <w:rPr>
          <w:rFonts w:hint="eastAsia"/>
          <w:noProof/>
          <w:lang w:val="en-US" w:eastAsia="zh-CN"/>
        </w:rPr>
        <w:t xml:space="preserve">    (b) </w:t>
      </w:r>
      <w:r w:rsidR="005F6D60">
        <w:rPr>
          <w:noProof/>
          <w:lang w:val="en-US"/>
        </w:rPr>
        <w:drawing>
          <wp:inline distT="0" distB="0" distL="0" distR="0">
            <wp:extent cx="2263140" cy="1287780"/>
            <wp:effectExtent l="0" t="0" r="0" b="0"/>
            <wp:docPr id="3" name="Picture 1"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9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3140" cy="1287780"/>
                    </a:xfrm>
                    <a:prstGeom prst="rect">
                      <a:avLst/>
                    </a:prstGeom>
                    <a:noFill/>
                    <a:ln>
                      <a:noFill/>
                    </a:ln>
                  </pic:spPr>
                </pic:pic>
              </a:graphicData>
            </a:graphic>
          </wp:inline>
        </w:drawing>
      </w:r>
    </w:p>
    <w:p w:rsidR="002531DC" w:rsidRDefault="002531DC">
      <w:pPr>
        <w:pStyle w:val="Els-caption"/>
      </w:pPr>
      <w:r>
        <w:t xml:space="preserve">Fig. 1. Illustration of pressure particles for (a) upstream inlet condition </w:t>
      </w:r>
      <w:r>
        <w:rPr>
          <w:rFonts w:hint="eastAsia"/>
          <w:lang w:eastAsia="zh-CN"/>
        </w:rPr>
        <w:t xml:space="preserve">in high temperature fields </w:t>
      </w:r>
      <w:r>
        <w:t>and (b) downstream moving water front</w:t>
      </w:r>
      <w:r>
        <w:rPr>
          <w:rFonts w:hint="eastAsia"/>
          <w:lang w:eastAsia="zh-CN"/>
        </w:rPr>
        <w:t xml:space="preserve"> in low temperature field</w:t>
      </w:r>
      <w:r>
        <w:t>.</w:t>
      </w:r>
    </w:p>
    <w:p w:rsidR="002531DC" w:rsidRDefault="002531DC">
      <w:pPr>
        <w:pStyle w:val="Els-2ndorder-head"/>
        <w:ind w:left="0"/>
        <w:jc w:val="both"/>
      </w:pPr>
      <w:r>
        <w:t>Footnotes</w:t>
      </w:r>
    </w:p>
    <w:p w:rsidR="002531DC" w:rsidRDefault="002531DC">
      <w:pPr>
        <w:pStyle w:val="Els-body-text"/>
      </w:pPr>
      <w:r>
        <w:t xml:space="preserve">Footnotes should be avoided if possible. Necessary footnotes should be denoted in the text by consecutive superscript letters. The footnotes should be typed single spaced, and in smaller type size (8 pt), at the foot of the page in which they are mentioned, and separated from the main text by a short line extending at the foot of the column. </w:t>
      </w:r>
    </w:p>
    <w:p w:rsidR="002531DC" w:rsidRDefault="002531DC">
      <w:pPr>
        <w:pStyle w:val="Els-2ndorder-head"/>
        <w:ind w:left="0"/>
        <w:jc w:val="both"/>
      </w:pPr>
      <w:r>
        <w:rPr>
          <w:rFonts w:hint="eastAsia"/>
          <w:lang w:eastAsia="zh-CN"/>
        </w:rPr>
        <w:t>Equations and formulae</w:t>
      </w:r>
    </w:p>
    <w:p w:rsidR="002531DC" w:rsidRDefault="002531DC">
      <w:pPr>
        <w:pStyle w:val="Els-body-text"/>
        <w:rPr>
          <w:rFonts w:hint="eastAsia"/>
          <w:lang w:eastAsia="zh-CN"/>
        </w:rPr>
      </w:pPr>
      <w:r>
        <w:t xml:space="preserve">Equations and formulae should be typed </w:t>
      </w:r>
      <w:r>
        <w:rPr>
          <w:rFonts w:hint="eastAsia"/>
          <w:lang w:eastAsia="zh-CN"/>
        </w:rPr>
        <w:t>by Mathtype software</w:t>
      </w:r>
      <w:r>
        <w:t xml:space="preserve"> </w:t>
      </w:r>
      <w:r>
        <w:rPr>
          <w:lang w:eastAsia="zh-CN"/>
        </w:rPr>
        <w:t xml:space="preserve">Copyrighted by Design Science, Inc. </w:t>
      </w:r>
      <w:r>
        <w:t>and numbered consecutively with Arabic numerals in parentheses</w:t>
      </w:r>
      <w:r>
        <w:rPr>
          <w:rFonts w:hint="eastAsia"/>
          <w:lang w:eastAsia="zh-CN"/>
        </w:rPr>
        <w:t xml:space="preserve">. The equations and formulae should be center aligned, while the numberings should be right hand aligned. </w:t>
      </w:r>
      <w:r>
        <w:rPr>
          <w:lang w:eastAsia="zh-CN"/>
        </w:rPr>
        <w:t>Present simple formulae in the line of normal text where possible and use the solidus (/) instead of a</w:t>
      </w:r>
      <w:r>
        <w:rPr>
          <w:rFonts w:hint="eastAsia"/>
          <w:lang w:eastAsia="zh-CN"/>
        </w:rPr>
        <w:t xml:space="preserve"> </w:t>
      </w:r>
      <w:r>
        <w:rPr>
          <w:lang w:eastAsia="zh-CN"/>
        </w:rPr>
        <w:t xml:space="preserve">horizontal line for small fractional terms, e.g., </w:t>
      </w:r>
      <w:r>
        <w:rPr>
          <w:position w:val="-10"/>
          <w:lang w:eastAsia="zh-CN"/>
        </w:rPr>
        <w:object w:dxaOrig="4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2pt;height:16.8pt" o:ole="">
            <v:imagedata r:id="rId9" o:title=""/>
          </v:shape>
          <o:OLEObject Type="Embed" ProgID="Equation.DSMT4" ShapeID="_x0000_i1028" DrawAspect="Content" ObjectID="_1602387446" r:id="rId10"/>
        </w:object>
      </w:r>
      <w:r>
        <w:rPr>
          <w:lang w:eastAsia="zh-CN"/>
        </w:rPr>
        <w:t>. In principle, variables are to be presented in italics.</w:t>
      </w:r>
      <w:r>
        <w:rPr>
          <w:rFonts w:hint="eastAsia"/>
          <w:lang w:eastAsia="zh-CN"/>
        </w:rPr>
        <w:t xml:space="preserve"> </w:t>
      </w:r>
      <w:r>
        <w:rPr>
          <w:lang w:eastAsia="zh-CN"/>
        </w:rPr>
        <w:t>Powers of e are often more conveniently denoted by exp. Use fraction exponents instead of root signs. Refer to equations in the text as</w:t>
      </w:r>
      <w:r>
        <w:rPr>
          <w:rFonts w:hint="eastAsia"/>
          <w:lang w:eastAsia="zh-CN"/>
        </w:rPr>
        <w:t xml:space="preserve"> </w:t>
      </w:r>
      <w:r>
        <w:rPr>
          <w:lang w:eastAsia="zh-CN"/>
        </w:rPr>
        <w:t>"Eq. (1)," etc., or "Equation (1)," etc.</w:t>
      </w:r>
    </w:p>
    <w:p w:rsidR="002531DC" w:rsidRDefault="002531DC">
      <w:pPr>
        <w:pStyle w:val="Els-equation"/>
        <w:wordWrap w:val="0"/>
        <w:jc w:val="right"/>
      </w:pPr>
      <w:r>
        <w:rPr>
          <w:i w:val="0"/>
          <w:iCs/>
          <w:position w:val="-16"/>
        </w:rPr>
        <w:object w:dxaOrig="2320" w:dyaOrig="460">
          <v:shape id="_x0000_i1029" type="#_x0000_t75" style="width:113.4pt;height:22.8pt" o:ole="">
            <v:imagedata r:id="rId11" o:title=""/>
          </v:shape>
          <o:OLEObject Type="Embed" ProgID="Equation.3" ShapeID="_x0000_i1029" DrawAspect="Content" ObjectID="_1602387447" r:id="rId12"/>
        </w:object>
      </w:r>
      <w:r>
        <w:rPr>
          <w:rFonts w:hint="eastAsia"/>
          <w:i w:val="0"/>
          <w:iCs/>
          <w:position w:val="-70"/>
          <w:lang w:eastAsia="zh-CN"/>
        </w:rPr>
        <w:t xml:space="preserve">                                                                 </w:t>
      </w:r>
      <w:r>
        <w:rPr>
          <w:i w:val="0"/>
          <w:iCs/>
        </w:rPr>
        <w:t>(1)</w:t>
      </w:r>
    </w:p>
    <w:p w:rsidR="002531DC" w:rsidRDefault="002531DC">
      <w:pPr>
        <w:pStyle w:val="Els-equation"/>
        <w:wordWrap w:val="0"/>
        <w:jc w:val="right"/>
      </w:pPr>
      <w:r>
        <w:rPr>
          <w:i w:val="0"/>
          <w:iCs/>
          <w:position w:val="-70"/>
        </w:rPr>
        <w:object w:dxaOrig="3340" w:dyaOrig="1060">
          <v:shape id="_x0000_i1030" type="#_x0000_t75" style="width:166.8pt;height:52.8pt" o:ole="" o:allowoverlap="f">
            <v:imagedata r:id="rId13" o:title=""/>
            <o:lock v:ext="edit" aspectratio="f"/>
          </v:shape>
          <o:OLEObject Type="Embed" ProgID="Equation.3" ShapeID="_x0000_i1030" DrawAspect="Content" ObjectID="_1602387448" r:id="rId14"/>
        </w:object>
      </w:r>
      <w:r>
        <w:rPr>
          <w:rFonts w:hint="eastAsia"/>
          <w:i w:val="0"/>
          <w:iCs/>
          <w:position w:val="-70"/>
          <w:lang w:eastAsia="zh-CN"/>
        </w:rPr>
        <w:t xml:space="preserve">                                                        </w:t>
      </w:r>
      <w:r>
        <w:rPr>
          <w:i w:val="0"/>
          <w:iCs/>
        </w:rPr>
        <w:t>(</w:t>
      </w:r>
      <w:r>
        <w:rPr>
          <w:rFonts w:hint="eastAsia"/>
          <w:i w:val="0"/>
          <w:iCs/>
          <w:lang w:eastAsia="zh-CN"/>
        </w:rPr>
        <w:t>2</w:t>
      </w:r>
      <w:r>
        <w:rPr>
          <w:i w:val="0"/>
          <w:iCs/>
        </w:rPr>
        <w:t>)</w:t>
      </w:r>
    </w:p>
    <w:p w:rsidR="002531DC" w:rsidRDefault="002531DC">
      <w:pPr>
        <w:pStyle w:val="Els-body-text"/>
        <w:ind w:firstLine="0"/>
        <w:rPr>
          <w:rFonts w:hint="eastAsia"/>
          <w:lang w:eastAsia="zh-CN"/>
        </w:rPr>
      </w:pPr>
      <w:r>
        <w:t xml:space="preserve">They should also be separated from the surrounding text by one </w:t>
      </w:r>
      <w:r>
        <w:rPr>
          <w:rFonts w:hint="eastAsia"/>
        </w:rPr>
        <w:t xml:space="preserve">line </w:t>
      </w:r>
      <w:r>
        <w:t xml:space="preserve">space. </w:t>
      </w:r>
    </w:p>
    <w:p w:rsidR="002531DC" w:rsidRDefault="002531DC">
      <w:pPr>
        <w:pStyle w:val="Els-2ndorder-head"/>
        <w:ind w:left="0"/>
        <w:jc w:val="both"/>
      </w:pPr>
      <w:r>
        <w:t>Construction of references</w:t>
      </w:r>
    </w:p>
    <w:p w:rsidR="002531DC" w:rsidRDefault="002531DC">
      <w:pPr>
        <w:pStyle w:val="Els-body-text"/>
        <w:rPr>
          <w:rFonts w:hint="eastAsia"/>
          <w:lang w:eastAsia="zh-CN"/>
        </w:rPr>
      </w:pPr>
      <w:r>
        <w:t>References should be added at the end of the paper, and its corresponding citation will be added in the order of their appearance in the text. Authors should ensure that every reference in the text appears in the list of references and vice versa. References should be indicated in the text by full-size numbers in brackets, e.g.,</w:t>
      </w:r>
      <w:r>
        <w:rPr>
          <w:rFonts w:hint="eastAsia"/>
          <w:lang w:eastAsia="zh-CN"/>
        </w:rPr>
        <w:t xml:space="preserve"> </w:t>
      </w:r>
      <w:r>
        <w:t>[1], [2-3]. The actual authors can be referred to, but the reference citation(s) must always be given. Some examples of how your references should be listed are given at the end of this template in the ‘References’ section, which will allow you to assemble your reference list according to the correct format and font size.</w:t>
      </w:r>
    </w:p>
    <w:p w:rsidR="002531DC" w:rsidRDefault="002531DC">
      <w:pPr>
        <w:pStyle w:val="Els-body-text"/>
        <w:rPr>
          <w:rFonts w:hint="eastAsia"/>
          <w:lang w:eastAsia="zh-CN"/>
        </w:rPr>
      </w:pPr>
      <w:r>
        <w:rPr>
          <w:lang w:eastAsia="zh-CN"/>
        </w:rPr>
        <w:t>The numbered reference list at the end of the article should conform</w:t>
      </w:r>
      <w:r>
        <w:rPr>
          <w:rFonts w:hint="eastAsia"/>
          <w:lang w:eastAsia="zh-CN"/>
        </w:rPr>
        <w:t xml:space="preserve"> </w:t>
      </w:r>
      <w:r>
        <w:rPr>
          <w:lang w:eastAsia="zh-CN"/>
        </w:rPr>
        <w:t>to the following style:</w:t>
      </w:r>
      <w:r>
        <w:rPr>
          <w:rFonts w:hint="eastAsia"/>
          <w:lang w:eastAsia="zh-CN"/>
        </w:rPr>
        <w:t xml:space="preserve"> </w:t>
      </w:r>
    </w:p>
    <w:p w:rsidR="002531DC" w:rsidRDefault="002531DC">
      <w:pPr>
        <w:pStyle w:val="Els-bulletlist"/>
        <w:rPr>
          <w:rFonts w:hint="eastAsia"/>
          <w:lang w:eastAsia="zh-CN"/>
        </w:rPr>
      </w:pPr>
      <w:r>
        <w:rPr>
          <w:rFonts w:hint="eastAsia"/>
          <w:lang w:eastAsia="zh-CN"/>
        </w:rPr>
        <w:t>Journal articles:</w:t>
      </w:r>
    </w:p>
    <w:p w:rsidR="002531DC" w:rsidRDefault="002531DC">
      <w:pPr>
        <w:pStyle w:val="ColorfulList-Accent11"/>
        <w:tabs>
          <w:tab w:val="left" w:pos="1980"/>
        </w:tabs>
        <w:ind w:left="360" w:hanging="360"/>
        <w:jc w:val="both"/>
        <w:rPr>
          <w:rFonts w:ascii="Times New Roman" w:eastAsia="SimSun" w:hAnsi="Times New Roman" w:hint="eastAsia"/>
          <w:sz w:val="16"/>
          <w:szCs w:val="20"/>
          <w:lang w:eastAsia="zh-CN"/>
        </w:rPr>
      </w:pPr>
      <w:r>
        <w:rPr>
          <w:rFonts w:ascii="Times New Roman" w:hAnsi="Times New Roman"/>
          <w:sz w:val="16"/>
          <w:szCs w:val="20"/>
        </w:rPr>
        <w:t>[</w:t>
      </w:r>
      <w:r>
        <w:rPr>
          <w:rFonts w:ascii="Times New Roman" w:eastAsia="SimSun" w:hAnsi="Times New Roman" w:hint="eastAsia"/>
          <w:sz w:val="16"/>
          <w:szCs w:val="20"/>
          <w:lang w:eastAsia="zh-CN"/>
        </w:rPr>
        <w:t>1</w:t>
      </w:r>
      <w:r>
        <w:rPr>
          <w:rFonts w:ascii="Times New Roman" w:hAnsi="Times New Roman"/>
          <w:sz w:val="16"/>
          <w:szCs w:val="20"/>
        </w:rPr>
        <w:t>] Deal, B., Grove, A., 1965. General Relationship for the Thermal Oxidation of Silicon, Journal of Applied Physics 36, p. 3770.</w:t>
      </w:r>
    </w:p>
    <w:p w:rsidR="002531DC" w:rsidRDefault="002531DC">
      <w:pPr>
        <w:pStyle w:val="ColorfulList-Accent11"/>
        <w:tabs>
          <w:tab w:val="left" w:pos="1980"/>
        </w:tabs>
        <w:ind w:left="360" w:hanging="360"/>
        <w:jc w:val="both"/>
        <w:rPr>
          <w:rFonts w:ascii="Times New Roman" w:eastAsia="SimSun" w:hAnsi="Times New Roman" w:hint="eastAsia"/>
          <w:sz w:val="16"/>
          <w:szCs w:val="20"/>
          <w:lang w:eastAsia="zh-CN"/>
        </w:rPr>
      </w:pPr>
      <w:r>
        <w:rPr>
          <w:rFonts w:ascii="Times New Roman" w:eastAsia="SimSun" w:hAnsi="Times New Roman"/>
          <w:sz w:val="16"/>
          <w:szCs w:val="20"/>
          <w:lang w:val="en-GB" w:eastAsia="zh-CN"/>
        </w:rPr>
        <w:t>[</w:t>
      </w:r>
      <w:r>
        <w:rPr>
          <w:rFonts w:ascii="Times New Roman" w:eastAsia="SimSun" w:hAnsi="Times New Roman" w:hint="eastAsia"/>
          <w:sz w:val="16"/>
          <w:szCs w:val="20"/>
          <w:lang w:val="en-GB" w:eastAsia="zh-CN"/>
        </w:rPr>
        <w:t>2</w:t>
      </w:r>
      <w:r>
        <w:rPr>
          <w:rFonts w:ascii="Times New Roman" w:eastAsia="SimSun" w:hAnsi="Times New Roman"/>
          <w:sz w:val="16"/>
          <w:szCs w:val="20"/>
          <w:lang w:val="en-GB" w:eastAsia="zh-CN"/>
        </w:rPr>
        <w:t>] Fachinger, J., 2006. Behavior of HTR Fuel Elements in Aquatic Phases of Repository Host Rock Formations. Nuclear Engineering &amp; Design 236, p. 54.</w:t>
      </w:r>
    </w:p>
    <w:p w:rsidR="002531DC" w:rsidRDefault="002531DC">
      <w:pPr>
        <w:pStyle w:val="Els-bulletlist"/>
        <w:rPr>
          <w:rFonts w:hint="eastAsia"/>
          <w:lang w:eastAsia="zh-CN"/>
        </w:rPr>
      </w:pPr>
      <w:r>
        <w:rPr>
          <w:rFonts w:hint="eastAsia"/>
          <w:lang w:eastAsia="zh-CN"/>
        </w:rPr>
        <w:t>Book:</w:t>
      </w:r>
    </w:p>
    <w:p w:rsidR="002531DC" w:rsidRDefault="002531DC">
      <w:pPr>
        <w:pStyle w:val="ColorfulList-Accent11"/>
        <w:tabs>
          <w:tab w:val="left" w:pos="1980"/>
        </w:tabs>
        <w:ind w:left="360" w:hanging="360"/>
        <w:jc w:val="both"/>
        <w:rPr>
          <w:rFonts w:ascii="Times New Roman" w:eastAsia="SimSun" w:hAnsi="Times New Roman" w:hint="eastAsia"/>
          <w:sz w:val="16"/>
          <w:szCs w:val="20"/>
          <w:lang w:eastAsia="zh-CN"/>
        </w:rPr>
      </w:pPr>
      <w:r>
        <w:rPr>
          <w:rFonts w:ascii="Times New Roman" w:hAnsi="Times New Roman"/>
          <w:sz w:val="16"/>
          <w:szCs w:val="20"/>
        </w:rPr>
        <w:t>[</w:t>
      </w:r>
      <w:r>
        <w:rPr>
          <w:rFonts w:ascii="Times New Roman" w:eastAsia="SimSun" w:hAnsi="Times New Roman" w:hint="eastAsia"/>
          <w:sz w:val="16"/>
          <w:szCs w:val="20"/>
          <w:lang w:eastAsia="zh-CN"/>
        </w:rPr>
        <w:t>3</w:t>
      </w:r>
      <w:r>
        <w:rPr>
          <w:rFonts w:ascii="Times New Roman" w:hAnsi="Times New Roman"/>
          <w:sz w:val="16"/>
          <w:szCs w:val="20"/>
        </w:rPr>
        <w:t xml:space="preserve">] </w:t>
      </w:r>
      <w:r>
        <w:rPr>
          <w:rFonts w:ascii="Times New Roman" w:eastAsia="SimSun" w:hAnsi="Times New Roman" w:hint="eastAsia"/>
          <w:sz w:val="16"/>
          <w:szCs w:val="20"/>
          <w:lang w:eastAsia="zh-CN"/>
        </w:rPr>
        <w:t xml:space="preserve">Quintiere, James G., 2006. Fundamentals of Fire Phenomena, John Wiley &amp; Sons. Ltd, Chichester, U. K. </w:t>
      </w:r>
    </w:p>
    <w:p w:rsidR="002531DC" w:rsidRDefault="002531DC">
      <w:pPr>
        <w:pStyle w:val="ColorfulList-Accent11"/>
        <w:tabs>
          <w:tab w:val="left" w:pos="1980"/>
        </w:tabs>
        <w:ind w:left="360" w:hanging="360"/>
        <w:jc w:val="both"/>
        <w:rPr>
          <w:rFonts w:ascii="Times New Roman" w:hAnsi="Times New Roman"/>
          <w:i/>
          <w:sz w:val="16"/>
          <w:szCs w:val="20"/>
        </w:rPr>
      </w:pPr>
      <w:r>
        <w:rPr>
          <w:rFonts w:ascii="Times New Roman" w:hAnsi="Times New Roman"/>
          <w:i/>
          <w:sz w:val="16"/>
          <w:szCs w:val="20"/>
        </w:rPr>
        <w:t>You may also include the page or page range (optional).</w:t>
      </w:r>
    </w:p>
    <w:p w:rsidR="002531DC" w:rsidRDefault="002531DC">
      <w:pPr>
        <w:pStyle w:val="Els-bulletlist"/>
        <w:rPr>
          <w:rFonts w:hint="eastAsia"/>
          <w:lang w:eastAsia="zh-CN"/>
        </w:rPr>
      </w:pPr>
      <w:r>
        <w:rPr>
          <w:rFonts w:hint="eastAsia"/>
          <w:lang w:eastAsia="zh-CN"/>
        </w:rPr>
        <w:t>Edited Book:</w:t>
      </w:r>
    </w:p>
    <w:p w:rsidR="002531DC" w:rsidRDefault="002531DC">
      <w:pPr>
        <w:pStyle w:val="ColorfulList-Accent11"/>
        <w:tabs>
          <w:tab w:val="left" w:pos="1980"/>
        </w:tabs>
        <w:ind w:left="360" w:hanging="360"/>
        <w:jc w:val="both"/>
        <w:rPr>
          <w:rFonts w:ascii="Times New Roman" w:hAnsi="Times New Roman"/>
          <w:sz w:val="16"/>
          <w:szCs w:val="20"/>
        </w:rPr>
      </w:pPr>
      <w:r>
        <w:rPr>
          <w:rFonts w:ascii="Times New Roman" w:hAnsi="Times New Roman"/>
          <w:sz w:val="16"/>
          <w:szCs w:val="20"/>
        </w:rPr>
        <w:t>[</w:t>
      </w:r>
      <w:r>
        <w:rPr>
          <w:rFonts w:ascii="Times New Roman" w:eastAsia="SimSun" w:hAnsi="Times New Roman" w:hint="eastAsia"/>
          <w:sz w:val="16"/>
          <w:szCs w:val="20"/>
          <w:lang w:eastAsia="zh-CN"/>
        </w:rPr>
        <w:t>4</w:t>
      </w:r>
      <w:r>
        <w:rPr>
          <w:rFonts w:ascii="Times New Roman" w:hAnsi="Times New Roman"/>
          <w:sz w:val="16"/>
          <w:szCs w:val="20"/>
        </w:rPr>
        <w:t xml:space="preserve">] Clark, T., Woodley, R., De Halas, D., 1962. Gas-Graphite Systems, in </w:t>
      </w:r>
      <w:r>
        <w:rPr>
          <w:rFonts w:ascii="Times New Roman" w:hAnsi="Times New Roman"/>
          <w:i/>
          <w:sz w:val="16"/>
          <w:szCs w:val="20"/>
        </w:rPr>
        <w:t>“Nuclear Graphite”</w:t>
      </w:r>
      <w:r>
        <w:rPr>
          <w:rFonts w:ascii="Times New Roman" w:hAnsi="Times New Roman"/>
          <w:sz w:val="16"/>
          <w:szCs w:val="20"/>
        </w:rPr>
        <w:t xml:space="preserve"> R. Nightingale, Editor. Academic Press, New York, p. 387.</w:t>
      </w:r>
    </w:p>
    <w:p w:rsidR="002531DC" w:rsidRDefault="002531DC">
      <w:pPr>
        <w:pStyle w:val="Els-bulletlist"/>
        <w:rPr>
          <w:rFonts w:hint="eastAsia"/>
          <w:lang w:eastAsia="zh-CN"/>
        </w:rPr>
      </w:pPr>
      <w:r>
        <w:rPr>
          <w:rFonts w:hint="eastAsia"/>
          <w:lang w:eastAsia="zh-CN"/>
        </w:rPr>
        <w:t>Symposium Proceedings:</w:t>
      </w:r>
    </w:p>
    <w:p w:rsidR="002531DC" w:rsidRDefault="002531DC">
      <w:pPr>
        <w:pStyle w:val="ColorfulList-Accent11"/>
        <w:tabs>
          <w:tab w:val="left" w:pos="1980"/>
        </w:tabs>
        <w:ind w:left="224" w:hanging="224"/>
        <w:jc w:val="both"/>
        <w:rPr>
          <w:rFonts w:ascii="Times New Roman" w:eastAsia="SimSun" w:hAnsi="Times New Roman" w:hint="eastAsia"/>
          <w:sz w:val="16"/>
          <w:szCs w:val="20"/>
          <w:lang w:eastAsia="zh-CN"/>
        </w:rPr>
      </w:pPr>
      <w:r>
        <w:rPr>
          <w:rFonts w:ascii="Times New Roman" w:hAnsi="Times New Roman"/>
          <w:sz w:val="16"/>
          <w:szCs w:val="20"/>
        </w:rPr>
        <w:t>[</w:t>
      </w:r>
      <w:r>
        <w:rPr>
          <w:rFonts w:ascii="Times New Roman" w:eastAsia="SimSun" w:hAnsi="Times New Roman" w:hint="eastAsia"/>
          <w:sz w:val="16"/>
          <w:szCs w:val="20"/>
          <w:lang w:eastAsia="zh-CN"/>
        </w:rPr>
        <w:t>5</w:t>
      </w:r>
      <w:r>
        <w:rPr>
          <w:rFonts w:ascii="Times New Roman" w:hAnsi="Times New Roman"/>
          <w:sz w:val="16"/>
          <w:szCs w:val="20"/>
        </w:rPr>
        <w:t>] Samochine, D</w:t>
      </w:r>
      <w:r>
        <w:rPr>
          <w:rFonts w:ascii="Times New Roman" w:eastAsia="SimSun" w:hAnsi="Times New Roman" w:hint="eastAsia"/>
          <w:sz w:val="16"/>
          <w:szCs w:val="20"/>
          <w:lang w:eastAsia="zh-CN"/>
        </w:rPr>
        <w:t>.,</w:t>
      </w:r>
      <w:r>
        <w:rPr>
          <w:rFonts w:ascii="Times New Roman" w:hAnsi="Times New Roman"/>
          <w:sz w:val="16"/>
          <w:szCs w:val="20"/>
        </w:rPr>
        <w:t xml:space="preserve"> Boyce, K</w:t>
      </w:r>
      <w:r>
        <w:rPr>
          <w:rFonts w:ascii="Times New Roman" w:eastAsia="SimSun" w:hAnsi="Times New Roman" w:hint="eastAsia"/>
          <w:sz w:val="16"/>
          <w:szCs w:val="20"/>
          <w:lang w:eastAsia="zh-CN"/>
        </w:rPr>
        <w:t>.,</w:t>
      </w:r>
      <w:r>
        <w:rPr>
          <w:rFonts w:ascii="Times New Roman" w:hAnsi="Times New Roman"/>
          <w:sz w:val="16"/>
          <w:szCs w:val="20"/>
        </w:rPr>
        <w:t xml:space="preserve"> Shields, J</w:t>
      </w:r>
      <w:r>
        <w:rPr>
          <w:rFonts w:ascii="Times New Roman" w:eastAsia="SimSun" w:hAnsi="Times New Roman" w:hint="eastAsia"/>
          <w:sz w:val="16"/>
          <w:szCs w:val="20"/>
          <w:lang w:eastAsia="zh-CN"/>
        </w:rPr>
        <w:t xml:space="preserve">., 2005. </w:t>
      </w:r>
      <w:r>
        <w:rPr>
          <w:rFonts w:ascii="Times New Roman" w:eastAsia="SimSun" w:hAnsi="Times New Roman"/>
          <w:sz w:val="16"/>
          <w:szCs w:val="20"/>
          <w:lang w:eastAsia="zh-CN"/>
        </w:rPr>
        <w:t>“</w:t>
      </w:r>
      <w:r>
        <w:rPr>
          <w:rFonts w:ascii="Times New Roman" w:eastAsia="SimSun" w:hAnsi="Times New Roman" w:hint="eastAsia"/>
          <w:sz w:val="16"/>
          <w:szCs w:val="20"/>
          <w:lang w:eastAsia="zh-CN"/>
        </w:rPr>
        <w:t>I</w:t>
      </w:r>
      <w:r>
        <w:rPr>
          <w:rFonts w:ascii="Times New Roman" w:eastAsia="SimSun" w:hAnsi="Times New Roman"/>
          <w:sz w:val="16"/>
          <w:szCs w:val="20"/>
          <w:lang w:eastAsia="zh-CN"/>
        </w:rPr>
        <w:t>nvestigation into staff behaviour in unannounced evacuations of retail stores - Implications for training and fire safety engineering</w:t>
      </w:r>
      <w:r>
        <w:rPr>
          <w:rFonts w:ascii="Times New Roman" w:eastAsia="SimSun" w:hAnsi="Times New Roman" w:hint="eastAsia"/>
          <w:sz w:val="16"/>
          <w:szCs w:val="20"/>
          <w:lang w:eastAsia="zh-CN"/>
        </w:rPr>
        <w:t>,</w:t>
      </w:r>
      <w:r>
        <w:rPr>
          <w:rFonts w:ascii="Times New Roman" w:eastAsia="SimSun" w:hAnsi="Times New Roman"/>
          <w:sz w:val="16"/>
          <w:szCs w:val="20"/>
          <w:lang w:eastAsia="zh-CN"/>
        </w:rPr>
        <w:t>”</w:t>
      </w:r>
      <w:r>
        <w:rPr>
          <w:rFonts w:ascii="Times New Roman" w:eastAsia="SimSun" w:hAnsi="Times New Roman" w:hint="eastAsia"/>
          <w:sz w:val="16"/>
          <w:szCs w:val="20"/>
          <w:lang w:eastAsia="zh-CN"/>
        </w:rPr>
        <w:t xml:space="preserve"> </w:t>
      </w:r>
      <w:r>
        <w:rPr>
          <w:rFonts w:ascii="Times New Roman" w:eastAsia="SimSun" w:hAnsi="Times New Roman"/>
          <w:sz w:val="16"/>
          <w:szCs w:val="20"/>
          <w:lang w:eastAsia="zh-CN"/>
        </w:rPr>
        <w:t>Fire Safety Science - Proceedings of the 8th International Symposiu</w:t>
      </w:r>
      <w:r>
        <w:rPr>
          <w:rFonts w:ascii="Times New Roman" w:eastAsia="SimSun" w:hAnsi="Times New Roman" w:hint="eastAsia"/>
          <w:sz w:val="16"/>
          <w:szCs w:val="20"/>
          <w:lang w:eastAsia="zh-CN"/>
        </w:rPr>
        <w:t xml:space="preserve">m, </w:t>
      </w:r>
      <w:r>
        <w:rPr>
          <w:rFonts w:ascii="Times New Roman" w:eastAsia="SimSun" w:hAnsi="Times New Roman"/>
          <w:sz w:val="16"/>
          <w:szCs w:val="20"/>
          <w:lang w:eastAsia="zh-CN"/>
        </w:rPr>
        <w:t>International</w:t>
      </w:r>
      <w:r>
        <w:rPr>
          <w:rFonts w:ascii="Times New Roman" w:eastAsia="SimSun" w:hAnsi="Times New Roman" w:hint="eastAsia"/>
          <w:sz w:val="16"/>
          <w:szCs w:val="20"/>
          <w:lang w:eastAsia="zh-CN"/>
        </w:rPr>
        <w:t xml:space="preserve"> </w:t>
      </w:r>
      <w:r>
        <w:rPr>
          <w:rFonts w:ascii="Times New Roman" w:eastAsia="SimSun" w:hAnsi="Times New Roman"/>
          <w:sz w:val="16"/>
          <w:szCs w:val="20"/>
          <w:lang w:eastAsia="zh-CN"/>
        </w:rPr>
        <w:t>Association for Fire Safety Science</w:t>
      </w:r>
      <w:r>
        <w:rPr>
          <w:rFonts w:ascii="Times New Roman" w:eastAsia="SimSun" w:hAnsi="Times New Roman" w:hint="eastAsia"/>
          <w:sz w:val="16"/>
          <w:szCs w:val="20"/>
          <w:lang w:eastAsia="zh-CN"/>
        </w:rPr>
        <w:t xml:space="preserve">, pp. 519-530. </w:t>
      </w:r>
    </w:p>
    <w:p w:rsidR="002531DC" w:rsidRDefault="002531DC">
      <w:pPr>
        <w:pStyle w:val="ColorfulList-Accent11"/>
        <w:tabs>
          <w:tab w:val="left" w:pos="1980"/>
        </w:tabs>
        <w:ind w:left="224" w:hanging="224"/>
        <w:jc w:val="both"/>
        <w:rPr>
          <w:rFonts w:ascii="Times New Roman" w:hAnsi="Times New Roman"/>
          <w:sz w:val="16"/>
          <w:szCs w:val="20"/>
        </w:rPr>
      </w:pPr>
      <w:r>
        <w:rPr>
          <w:rFonts w:ascii="Times New Roman" w:hAnsi="Times New Roman"/>
          <w:sz w:val="16"/>
          <w:szCs w:val="20"/>
          <w:lang w:val="nl-NL"/>
        </w:rPr>
        <w:t>[</w:t>
      </w:r>
      <w:r>
        <w:rPr>
          <w:rFonts w:ascii="Times New Roman" w:eastAsia="SimSun" w:hAnsi="Times New Roman" w:hint="eastAsia"/>
          <w:sz w:val="16"/>
          <w:szCs w:val="20"/>
          <w:lang w:val="nl-NL" w:eastAsia="zh-CN"/>
        </w:rPr>
        <w:t>6</w:t>
      </w:r>
      <w:r>
        <w:rPr>
          <w:rFonts w:ascii="Times New Roman" w:hAnsi="Times New Roman"/>
          <w:sz w:val="16"/>
          <w:szCs w:val="20"/>
          <w:lang w:val="nl-NL"/>
        </w:rPr>
        <w:t xml:space="preserve">] Fachinger, J., den Exter, M., Grambow, B., Holgerson, S., Landesmann, C., Titov, M., Podruhzina, T., 2004. </w:t>
      </w:r>
      <w:r>
        <w:rPr>
          <w:rFonts w:ascii="Times New Roman" w:hAnsi="Times New Roman"/>
          <w:sz w:val="16"/>
          <w:szCs w:val="20"/>
        </w:rPr>
        <w:t>“Behavior of spent HTR fuel elements in aquatic phases of repository host rock formations,” 2</w:t>
      </w:r>
      <w:r>
        <w:rPr>
          <w:rFonts w:ascii="Times New Roman" w:hAnsi="Times New Roman"/>
          <w:sz w:val="16"/>
          <w:szCs w:val="20"/>
          <w:vertAlign w:val="superscript"/>
        </w:rPr>
        <w:t>nd</w:t>
      </w:r>
      <w:r>
        <w:rPr>
          <w:rFonts w:ascii="Times New Roman" w:hAnsi="Times New Roman"/>
          <w:sz w:val="16"/>
          <w:szCs w:val="20"/>
        </w:rPr>
        <w:t xml:space="preserve"> International Topical Meeting on High Temperature Reactor Technology. Beijing, China, paper #B08. </w:t>
      </w:r>
    </w:p>
    <w:p w:rsidR="002531DC" w:rsidRDefault="002531DC">
      <w:pPr>
        <w:pStyle w:val="Els-bulletlist"/>
        <w:rPr>
          <w:rFonts w:hint="eastAsia"/>
          <w:lang w:eastAsia="zh-CN"/>
        </w:rPr>
      </w:pPr>
      <w:r>
        <w:rPr>
          <w:rFonts w:hint="eastAsia"/>
          <w:lang w:eastAsia="zh-CN"/>
        </w:rPr>
        <w:t>Internal Reports:</w:t>
      </w:r>
    </w:p>
    <w:p w:rsidR="002531DC" w:rsidRDefault="002531DC">
      <w:pPr>
        <w:pStyle w:val="BodyTextIndent"/>
        <w:ind w:left="360" w:hanging="360"/>
        <w:rPr>
          <w:sz w:val="16"/>
        </w:rPr>
      </w:pPr>
      <w:r>
        <w:rPr>
          <w:sz w:val="16"/>
        </w:rPr>
        <w:t xml:space="preserve"> [</w:t>
      </w:r>
      <w:r>
        <w:rPr>
          <w:rFonts w:eastAsia="SimSun" w:hint="eastAsia"/>
          <w:sz w:val="16"/>
          <w:lang w:eastAsia="zh-CN"/>
        </w:rPr>
        <w:t>7</w:t>
      </w:r>
      <w:r>
        <w:rPr>
          <w:sz w:val="16"/>
        </w:rPr>
        <w:t>] Deep-Burn Project: Annual Report for 2009, Idaho National Laboratory, Sept. 2009.</w:t>
      </w:r>
    </w:p>
    <w:p w:rsidR="002531DC" w:rsidRDefault="002531DC">
      <w:pPr>
        <w:pStyle w:val="Els-acknowledgement"/>
        <w:jc w:val="both"/>
      </w:pPr>
      <w:r>
        <w:t>Acknowledgements</w:t>
      </w:r>
    </w:p>
    <w:p w:rsidR="002531DC" w:rsidRDefault="002531DC">
      <w:pPr>
        <w:pStyle w:val="Els-body-text"/>
      </w:pPr>
      <w:r>
        <w:t>These and the Reference headings are in bold but have no numbers. Text below continues as normal. Collate acknowledgements in a separate section at the end of the article before the references and do</w:t>
      </w:r>
      <w:r>
        <w:rPr>
          <w:rFonts w:hint="eastAsia"/>
          <w:lang w:eastAsia="zh-CN"/>
        </w:rPr>
        <w:t xml:space="preserve"> </w:t>
      </w:r>
      <w:r>
        <w:t>not, therefore, include them on the title page, as a footnote to the title or otherwise. List here those</w:t>
      </w:r>
      <w:r>
        <w:rPr>
          <w:rFonts w:hint="eastAsia"/>
          <w:lang w:eastAsia="zh-CN"/>
        </w:rPr>
        <w:t xml:space="preserve"> </w:t>
      </w:r>
      <w:r>
        <w:t>individuals who provided help during the research (e.g., providing language help, writing assistance</w:t>
      </w:r>
      <w:r>
        <w:rPr>
          <w:rFonts w:hint="eastAsia"/>
          <w:lang w:eastAsia="zh-CN"/>
        </w:rPr>
        <w:t xml:space="preserve"> </w:t>
      </w:r>
      <w:r>
        <w:t>or proof reading the article, etc.).</w:t>
      </w:r>
    </w:p>
    <w:p w:rsidR="002531DC" w:rsidRDefault="002531DC">
      <w:pPr>
        <w:pStyle w:val="Els-reference-head"/>
        <w:jc w:val="both"/>
      </w:pPr>
      <w:r>
        <w:t>References</w:t>
      </w:r>
    </w:p>
    <w:p w:rsidR="002531DC" w:rsidRDefault="002531DC">
      <w:pPr>
        <w:pStyle w:val="ColorfulList-Accent11"/>
        <w:tabs>
          <w:tab w:val="left" w:pos="1980"/>
        </w:tabs>
        <w:ind w:left="360" w:hanging="360"/>
        <w:jc w:val="both"/>
        <w:rPr>
          <w:rFonts w:ascii="Times New Roman" w:eastAsia="SimSun" w:hAnsi="Times New Roman" w:hint="eastAsia"/>
          <w:sz w:val="16"/>
          <w:szCs w:val="20"/>
          <w:lang w:eastAsia="zh-CN"/>
        </w:rPr>
      </w:pPr>
      <w:r>
        <w:rPr>
          <w:rFonts w:ascii="Times New Roman" w:hAnsi="Times New Roman"/>
          <w:sz w:val="16"/>
          <w:szCs w:val="20"/>
        </w:rPr>
        <w:t>[</w:t>
      </w:r>
      <w:r>
        <w:rPr>
          <w:rFonts w:ascii="Times New Roman" w:eastAsia="SimSun" w:hAnsi="Times New Roman" w:hint="eastAsia"/>
          <w:sz w:val="16"/>
          <w:szCs w:val="20"/>
          <w:lang w:eastAsia="zh-CN"/>
        </w:rPr>
        <w:t>1</w:t>
      </w:r>
      <w:r>
        <w:rPr>
          <w:rFonts w:ascii="Times New Roman" w:hAnsi="Times New Roman"/>
          <w:sz w:val="16"/>
          <w:szCs w:val="20"/>
        </w:rPr>
        <w:t>] Deal, B., Grove, A., 1965. General Relationship for the Thermal Oxidation of Silicon, Journal of Applied Physics 36, p. 3770.</w:t>
      </w:r>
    </w:p>
    <w:p w:rsidR="002531DC" w:rsidRDefault="002531DC">
      <w:pPr>
        <w:pStyle w:val="ColorfulList-Accent11"/>
        <w:tabs>
          <w:tab w:val="left" w:pos="1980"/>
        </w:tabs>
        <w:ind w:left="360" w:hanging="360"/>
        <w:jc w:val="both"/>
        <w:rPr>
          <w:rFonts w:ascii="Times New Roman" w:eastAsia="SimSun" w:hAnsi="Times New Roman" w:hint="eastAsia"/>
          <w:sz w:val="16"/>
          <w:szCs w:val="20"/>
          <w:lang w:eastAsia="zh-CN"/>
        </w:rPr>
      </w:pPr>
      <w:r>
        <w:rPr>
          <w:rFonts w:ascii="Times New Roman" w:eastAsia="SimSun" w:hAnsi="Times New Roman"/>
          <w:sz w:val="16"/>
          <w:szCs w:val="20"/>
          <w:lang w:val="en-GB" w:eastAsia="zh-CN"/>
        </w:rPr>
        <w:t>[</w:t>
      </w:r>
      <w:r>
        <w:rPr>
          <w:rFonts w:ascii="Times New Roman" w:eastAsia="SimSun" w:hAnsi="Times New Roman" w:hint="eastAsia"/>
          <w:sz w:val="16"/>
          <w:szCs w:val="20"/>
          <w:lang w:val="en-GB" w:eastAsia="zh-CN"/>
        </w:rPr>
        <w:t>2</w:t>
      </w:r>
      <w:r>
        <w:rPr>
          <w:rFonts w:ascii="Times New Roman" w:eastAsia="SimSun" w:hAnsi="Times New Roman"/>
          <w:sz w:val="16"/>
          <w:szCs w:val="20"/>
          <w:lang w:val="en-GB" w:eastAsia="zh-CN"/>
        </w:rPr>
        <w:t>] Fachinger, J., 2006. Behavior of HTR Fuel Elements in Aquatic Phases of Repository Host Rock Formations. Nuclear Engineering &amp; Design 236, p. 54.</w:t>
      </w:r>
    </w:p>
    <w:p w:rsidR="002531DC" w:rsidRDefault="002531DC">
      <w:pPr>
        <w:pStyle w:val="ColorfulList-Accent11"/>
        <w:tabs>
          <w:tab w:val="left" w:pos="1980"/>
        </w:tabs>
        <w:ind w:left="360" w:hanging="360"/>
        <w:jc w:val="both"/>
        <w:rPr>
          <w:rFonts w:ascii="Times New Roman" w:eastAsia="SimSun" w:hAnsi="Times New Roman" w:hint="eastAsia"/>
          <w:sz w:val="16"/>
          <w:szCs w:val="20"/>
          <w:lang w:eastAsia="zh-CN"/>
        </w:rPr>
      </w:pPr>
      <w:r>
        <w:rPr>
          <w:rFonts w:ascii="Times New Roman" w:hAnsi="Times New Roman"/>
          <w:sz w:val="16"/>
          <w:szCs w:val="20"/>
        </w:rPr>
        <w:t>[</w:t>
      </w:r>
      <w:r>
        <w:rPr>
          <w:rFonts w:ascii="Times New Roman" w:eastAsia="SimSun" w:hAnsi="Times New Roman" w:hint="eastAsia"/>
          <w:sz w:val="16"/>
          <w:szCs w:val="20"/>
          <w:lang w:eastAsia="zh-CN"/>
        </w:rPr>
        <w:t>3</w:t>
      </w:r>
      <w:r>
        <w:rPr>
          <w:rFonts w:ascii="Times New Roman" w:hAnsi="Times New Roman"/>
          <w:sz w:val="16"/>
          <w:szCs w:val="20"/>
        </w:rPr>
        <w:t xml:space="preserve">] </w:t>
      </w:r>
      <w:r>
        <w:rPr>
          <w:rFonts w:ascii="Times New Roman" w:eastAsia="SimSun" w:hAnsi="Times New Roman" w:hint="eastAsia"/>
          <w:sz w:val="16"/>
          <w:szCs w:val="20"/>
          <w:lang w:eastAsia="zh-CN"/>
        </w:rPr>
        <w:t xml:space="preserve">Quintiere, James G., 2006. Fundamentals of Fire Phenomena, John Wiley &amp; Sons. Ltd, Chichester, U. K. </w:t>
      </w:r>
    </w:p>
    <w:p w:rsidR="002531DC" w:rsidRDefault="002531DC">
      <w:pPr>
        <w:pStyle w:val="ColorfulList-Accent11"/>
        <w:tabs>
          <w:tab w:val="left" w:pos="1980"/>
        </w:tabs>
        <w:ind w:left="360" w:hanging="360"/>
        <w:jc w:val="both"/>
        <w:rPr>
          <w:rFonts w:ascii="Times New Roman" w:hAnsi="Times New Roman"/>
          <w:sz w:val="16"/>
          <w:szCs w:val="20"/>
        </w:rPr>
      </w:pPr>
      <w:r>
        <w:rPr>
          <w:rFonts w:ascii="Times New Roman" w:hAnsi="Times New Roman"/>
          <w:sz w:val="16"/>
          <w:szCs w:val="20"/>
        </w:rPr>
        <w:t>[</w:t>
      </w:r>
      <w:r>
        <w:rPr>
          <w:rFonts w:ascii="Times New Roman" w:eastAsia="SimSun" w:hAnsi="Times New Roman" w:hint="eastAsia"/>
          <w:sz w:val="16"/>
          <w:szCs w:val="20"/>
          <w:lang w:eastAsia="zh-CN"/>
        </w:rPr>
        <w:t>4</w:t>
      </w:r>
      <w:r>
        <w:rPr>
          <w:rFonts w:ascii="Times New Roman" w:hAnsi="Times New Roman"/>
          <w:sz w:val="16"/>
          <w:szCs w:val="20"/>
        </w:rPr>
        <w:t xml:space="preserve">] Clark, T., Woodley, R., De Halas, D., 1962. Gas-Graphite Systems, in </w:t>
      </w:r>
      <w:r>
        <w:rPr>
          <w:rFonts w:ascii="Times New Roman" w:hAnsi="Times New Roman"/>
          <w:i/>
          <w:sz w:val="16"/>
          <w:szCs w:val="20"/>
        </w:rPr>
        <w:t>“Nuclear Graphite”</w:t>
      </w:r>
      <w:r>
        <w:rPr>
          <w:rFonts w:ascii="Times New Roman" w:hAnsi="Times New Roman"/>
          <w:sz w:val="16"/>
          <w:szCs w:val="20"/>
        </w:rPr>
        <w:t xml:space="preserve"> R. Nightingale, Editor. Academic Press, New York, p. 387.</w:t>
      </w:r>
    </w:p>
    <w:p w:rsidR="002531DC" w:rsidRDefault="002531DC">
      <w:pPr>
        <w:pStyle w:val="ColorfulList-Accent11"/>
        <w:tabs>
          <w:tab w:val="left" w:pos="1980"/>
        </w:tabs>
        <w:ind w:left="224" w:hanging="224"/>
        <w:jc w:val="both"/>
        <w:rPr>
          <w:rFonts w:ascii="Times New Roman" w:eastAsia="SimSun" w:hAnsi="Times New Roman" w:hint="eastAsia"/>
          <w:sz w:val="16"/>
          <w:szCs w:val="20"/>
          <w:lang w:eastAsia="zh-CN"/>
        </w:rPr>
      </w:pPr>
      <w:r>
        <w:rPr>
          <w:rFonts w:ascii="Times New Roman" w:hAnsi="Times New Roman"/>
          <w:sz w:val="16"/>
          <w:szCs w:val="20"/>
        </w:rPr>
        <w:t>[</w:t>
      </w:r>
      <w:r>
        <w:rPr>
          <w:rFonts w:ascii="Times New Roman" w:eastAsia="SimSun" w:hAnsi="Times New Roman" w:hint="eastAsia"/>
          <w:sz w:val="16"/>
          <w:szCs w:val="20"/>
          <w:lang w:eastAsia="zh-CN"/>
        </w:rPr>
        <w:t>5</w:t>
      </w:r>
      <w:r>
        <w:rPr>
          <w:rFonts w:ascii="Times New Roman" w:hAnsi="Times New Roman"/>
          <w:sz w:val="16"/>
          <w:szCs w:val="20"/>
        </w:rPr>
        <w:t>] Samochine, D</w:t>
      </w:r>
      <w:r>
        <w:rPr>
          <w:rFonts w:ascii="Times New Roman" w:eastAsia="SimSun" w:hAnsi="Times New Roman" w:hint="eastAsia"/>
          <w:sz w:val="16"/>
          <w:szCs w:val="20"/>
          <w:lang w:eastAsia="zh-CN"/>
        </w:rPr>
        <w:t>.,</w:t>
      </w:r>
      <w:r>
        <w:rPr>
          <w:rFonts w:ascii="Times New Roman" w:hAnsi="Times New Roman"/>
          <w:sz w:val="16"/>
          <w:szCs w:val="20"/>
        </w:rPr>
        <w:t xml:space="preserve"> Boyce, K</w:t>
      </w:r>
      <w:r>
        <w:rPr>
          <w:rFonts w:ascii="Times New Roman" w:eastAsia="SimSun" w:hAnsi="Times New Roman" w:hint="eastAsia"/>
          <w:sz w:val="16"/>
          <w:szCs w:val="20"/>
          <w:lang w:eastAsia="zh-CN"/>
        </w:rPr>
        <w:t>.,</w:t>
      </w:r>
      <w:r>
        <w:rPr>
          <w:rFonts w:ascii="Times New Roman" w:hAnsi="Times New Roman"/>
          <w:sz w:val="16"/>
          <w:szCs w:val="20"/>
        </w:rPr>
        <w:t xml:space="preserve"> Shields, J</w:t>
      </w:r>
      <w:r>
        <w:rPr>
          <w:rFonts w:ascii="Times New Roman" w:eastAsia="SimSun" w:hAnsi="Times New Roman" w:hint="eastAsia"/>
          <w:sz w:val="16"/>
          <w:szCs w:val="20"/>
          <w:lang w:eastAsia="zh-CN"/>
        </w:rPr>
        <w:t xml:space="preserve">., 2005. </w:t>
      </w:r>
      <w:r>
        <w:rPr>
          <w:rFonts w:ascii="Times New Roman" w:eastAsia="SimSun" w:hAnsi="Times New Roman"/>
          <w:sz w:val="16"/>
          <w:szCs w:val="20"/>
          <w:lang w:eastAsia="zh-CN"/>
        </w:rPr>
        <w:t>“</w:t>
      </w:r>
      <w:r>
        <w:rPr>
          <w:rFonts w:ascii="Times New Roman" w:eastAsia="SimSun" w:hAnsi="Times New Roman" w:hint="eastAsia"/>
          <w:sz w:val="16"/>
          <w:szCs w:val="20"/>
          <w:lang w:eastAsia="zh-CN"/>
        </w:rPr>
        <w:t>I</w:t>
      </w:r>
      <w:r>
        <w:rPr>
          <w:rFonts w:ascii="Times New Roman" w:eastAsia="SimSun" w:hAnsi="Times New Roman"/>
          <w:sz w:val="16"/>
          <w:szCs w:val="20"/>
          <w:lang w:eastAsia="zh-CN"/>
        </w:rPr>
        <w:t>nvestigation into staff behaviour in unannounced evacuations of retail stores - Implications for training and fire safety engineering</w:t>
      </w:r>
      <w:r>
        <w:rPr>
          <w:rFonts w:ascii="Times New Roman" w:eastAsia="SimSun" w:hAnsi="Times New Roman" w:hint="eastAsia"/>
          <w:sz w:val="16"/>
          <w:szCs w:val="20"/>
          <w:lang w:eastAsia="zh-CN"/>
        </w:rPr>
        <w:t>,</w:t>
      </w:r>
      <w:r>
        <w:rPr>
          <w:rFonts w:ascii="Times New Roman" w:eastAsia="SimSun" w:hAnsi="Times New Roman"/>
          <w:sz w:val="16"/>
          <w:szCs w:val="20"/>
          <w:lang w:eastAsia="zh-CN"/>
        </w:rPr>
        <w:t>”</w:t>
      </w:r>
      <w:r>
        <w:rPr>
          <w:rFonts w:ascii="Times New Roman" w:eastAsia="SimSun" w:hAnsi="Times New Roman" w:hint="eastAsia"/>
          <w:sz w:val="16"/>
          <w:szCs w:val="20"/>
          <w:lang w:eastAsia="zh-CN"/>
        </w:rPr>
        <w:t xml:space="preserve"> </w:t>
      </w:r>
      <w:r>
        <w:rPr>
          <w:rFonts w:ascii="Times New Roman" w:eastAsia="SimSun" w:hAnsi="Times New Roman"/>
          <w:sz w:val="16"/>
          <w:szCs w:val="20"/>
          <w:lang w:eastAsia="zh-CN"/>
        </w:rPr>
        <w:t>Fire Safety Science - Proceedings of the 8th International Symposiu</w:t>
      </w:r>
      <w:r>
        <w:rPr>
          <w:rFonts w:ascii="Times New Roman" w:eastAsia="SimSun" w:hAnsi="Times New Roman" w:hint="eastAsia"/>
          <w:sz w:val="16"/>
          <w:szCs w:val="20"/>
          <w:lang w:eastAsia="zh-CN"/>
        </w:rPr>
        <w:t xml:space="preserve">m, </w:t>
      </w:r>
      <w:r>
        <w:rPr>
          <w:rFonts w:ascii="Times New Roman" w:eastAsia="SimSun" w:hAnsi="Times New Roman"/>
          <w:sz w:val="16"/>
          <w:szCs w:val="20"/>
          <w:lang w:eastAsia="zh-CN"/>
        </w:rPr>
        <w:t>International</w:t>
      </w:r>
      <w:r>
        <w:rPr>
          <w:rFonts w:ascii="Times New Roman" w:eastAsia="SimSun" w:hAnsi="Times New Roman" w:hint="eastAsia"/>
          <w:sz w:val="16"/>
          <w:szCs w:val="20"/>
          <w:lang w:eastAsia="zh-CN"/>
        </w:rPr>
        <w:t xml:space="preserve"> </w:t>
      </w:r>
      <w:r>
        <w:rPr>
          <w:rFonts w:ascii="Times New Roman" w:eastAsia="SimSun" w:hAnsi="Times New Roman"/>
          <w:sz w:val="16"/>
          <w:szCs w:val="20"/>
          <w:lang w:eastAsia="zh-CN"/>
        </w:rPr>
        <w:t>Association for Fire Safety Science</w:t>
      </w:r>
      <w:r>
        <w:rPr>
          <w:rFonts w:ascii="Times New Roman" w:eastAsia="SimSun" w:hAnsi="Times New Roman" w:hint="eastAsia"/>
          <w:sz w:val="16"/>
          <w:szCs w:val="20"/>
          <w:lang w:eastAsia="zh-CN"/>
        </w:rPr>
        <w:t xml:space="preserve">, pp. 519-530. </w:t>
      </w:r>
    </w:p>
    <w:p w:rsidR="002531DC" w:rsidRDefault="002531DC">
      <w:pPr>
        <w:pStyle w:val="ColorfulList-Accent11"/>
        <w:tabs>
          <w:tab w:val="left" w:pos="1980"/>
        </w:tabs>
        <w:ind w:left="224" w:hanging="224"/>
        <w:jc w:val="both"/>
        <w:rPr>
          <w:rFonts w:ascii="Times New Roman" w:hAnsi="Times New Roman"/>
          <w:sz w:val="16"/>
          <w:szCs w:val="20"/>
        </w:rPr>
      </w:pPr>
      <w:r>
        <w:rPr>
          <w:rFonts w:ascii="Times New Roman" w:hAnsi="Times New Roman"/>
          <w:sz w:val="16"/>
          <w:szCs w:val="20"/>
          <w:lang w:val="nl-NL"/>
        </w:rPr>
        <w:t>[</w:t>
      </w:r>
      <w:r>
        <w:rPr>
          <w:rFonts w:ascii="Times New Roman" w:eastAsia="SimSun" w:hAnsi="Times New Roman" w:hint="eastAsia"/>
          <w:sz w:val="16"/>
          <w:szCs w:val="20"/>
          <w:lang w:val="nl-NL" w:eastAsia="zh-CN"/>
        </w:rPr>
        <w:t>6</w:t>
      </w:r>
      <w:r>
        <w:rPr>
          <w:rFonts w:ascii="Times New Roman" w:hAnsi="Times New Roman"/>
          <w:sz w:val="16"/>
          <w:szCs w:val="20"/>
          <w:lang w:val="nl-NL"/>
        </w:rPr>
        <w:t xml:space="preserve">] Fachinger, J., den Exter, M., Grambow, B., Holgerson, S., Landesmann, C., Titov, M., Podruhzina, T., 2004. </w:t>
      </w:r>
      <w:r>
        <w:rPr>
          <w:rFonts w:ascii="Times New Roman" w:hAnsi="Times New Roman"/>
          <w:sz w:val="16"/>
          <w:szCs w:val="20"/>
        </w:rPr>
        <w:t>“Behavior of spent HTR fuel elements in aquatic phases of repository host rock formations,” 2</w:t>
      </w:r>
      <w:r>
        <w:rPr>
          <w:rFonts w:ascii="Times New Roman" w:hAnsi="Times New Roman"/>
          <w:sz w:val="16"/>
          <w:szCs w:val="20"/>
          <w:vertAlign w:val="superscript"/>
        </w:rPr>
        <w:t>nd</w:t>
      </w:r>
      <w:r>
        <w:rPr>
          <w:rFonts w:ascii="Times New Roman" w:hAnsi="Times New Roman"/>
          <w:sz w:val="16"/>
          <w:szCs w:val="20"/>
        </w:rPr>
        <w:t xml:space="preserve"> International Topical Meeting on High Temperature Reactor Technology. Beijing, China, paper #B08. </w:t>
      </w:r>
    </w:p>
    <w:p w:rsidR="002531DC" w:rsidRDefault="002531DC">
      <w:pPr>
        <w:pStyle w:val="BodyTextIndent"/>
        <w:ind w:left="360" w:hanging="360"/>
        <w:rPr>
          <w:rFonts w:eastAsia="SimSun" w:hint="eastAsia"/>
          <w:sz w:val="16"/>
          <w:lang w:eastAsia="zh-CN"/>
        </w:rPr>
      </w:pPr>
      <w:r>
        <w:rPr>
          <w:sz w:val="16"/>
        </w:rPr>
        <w:t xml:space="preserve"> [</w:t>
      </w:r>
      <w:r>
        <w:rPr>
          <w:rFonts w:eastAsia="SimSun" w:hint="eastAsia"/>
          <w:sz w:val="16"/>
          <w:lang w:eastAsia="zh-CN"/>
        </w:rPr>
        <w:t>7</w:t>
      </w:r>
      <w:r>
        <w:rPr>
          <w:sz w:val="16"/>
        </w:rPr>
        <w:t>] Deep-Burn Project: Annual Report for 2009, Idaho National Laboratory, Sept. 2009.</w:t>
      </w:r>
    </w:p>
    <w:p w:rsidR="002531DC" w:rsidRDefault="002531DC">
      <w:pPr>
        <w:pStyle w:val="Els-appendixhead"/>
        <w:jc w:val="both"/>
      </w:pPr>
      <w:r>
        <w:lastRenderedPageBreak/>
        <w:t>An example appendix</w:t>
      </w:r>
    </w:p>
    <w:p w:rsidR="002531DC" w:rsidRDefault="002531DC">
      <w:pPr>
        <w:jc w:val="both"/>
        <w:rPr>
          <w:lang w:val="en-US"/>
        </w:rPr>
      </w:pPr>
      <w:r>
        <w:rPr>
          <w:lang w:val="en-US"/>
        </w:rPr>
        <w:t>Authors including an appendix section should do so after References section. Multiple appendices should all have headings in the style used above. They will automatically be ordered A, B, C etc.</w:t>
      </w:r>
    </w:p>
    <w:p w:rsidR="002531DC" w:rsidRDefault="002531DC">
      <w:pPr>
        <w:pStyle w:val="Els-appendixsubhead"/>
        <w:jc w:val="both"/>
      </w:pPr>
      <w:r>
        <w:t>Example of a sub-heading within an appendix</w:t>
      </w:r>
    </w:p>
    <w:p w:rsidR="002531DC" w:rsidRDefault="002531DC">
      <w:pPr>
        <w:jc w:val="both"/>
      </w:pPr>
      <w:r>
        <w:t>There is also the option to include a subheading within the Appendix if you wish.</w:t>
      </w:r>
    </w:p>
    <w:sectPr w:rsidR="002531DC" w:rsidSect="005A02A1">
      <w:headerReference w:type="even" r:id="rId15"/>
      <w:headerReference w:type="default" r:id="rId16"/>
      <w:headerReference w:type="first" r:id="rId17"/>
      <w:footnotePr>
        <w:numFmt w:val="chicago"/>
      </w:footnotePr>
      <w:type w:val="nextColumn"/>
      <w:pgSz w:w="12240" w:h="15840" w:code="1"/>
      <w:pgMar w:top="749" w:right="1195" w:bottom="2131" w:left="734" w:header="907" w:footer="1195"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6988" w:rsidRDefault="00B46988">
      <w:r>
        <w:separator/>
      </w:r>
    </w:p>
    <w:p w:rsidR="00B46988" w:rsidRDefault="00B46988"/>
  </w:endnote>
  <w:endnote w:type="continuationSeparator" w:id="0">
    <w:p w:rsidR="00B46988" w:rsidRDefault="00B46988">
      <w:r>
        <w:continuationSeparator/>
      </w:r>
    </w:p>
    <w:p w:rsidR="00B46988" w:rsidRDefault="00B469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embedBold r:id="rId1" w:fontKey="{D06D8C6B-1E29-43FC-930A-EA737E898006}"/>
  </w:font>
  <w:font w:name="Univers">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A1AAC50D-1662-4CDE-BF4F-710E665F0605}"/>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embedRegular r:id="rId3" w:fontKey="{F263DDB9-F499-4C4C-99E9-A37842544ACA}"/>
  </w:font>
  <w:font w:name="Calibri">
    <w:panose1 w:val="020F0502020204030204"/>
    <w:charset w:val="00"/>
    <w:family w:val="swiss"/>
    <w:pitch w:val="variable"/>
    <w:sig w:usb0="E00002FF" w:usb1="4000ACFF" w:usb2="00000001" w:usb3="00000000" w:csb0="0000019F" w:csb1="00000000"/>
    <w:embedRegular r:id="rId4" w:fontKey="{86F3D8C3-3FF7-497E-BCE2-07E33CE3281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6988" w:rsidRDefault="00B46988">
      <w:pPr>
        <w:pStyle w:val="Footer"/>
        <w:rPr>
          <w:lang w:val="en-GB"/>
        </w:rPr>
      </w:pPr>
      <w:r>
        <w:drawing>
          <wp:inline distT="0" distB="0" distL="0" distR="0">
            <wp:extent cx="563880" cy="22860"/>
            <wp:effectExtent l="0" t="0" r="0" b="0"/>
            <wp:docPr id="1"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22860"/>
                    </a:xfrm>
                    <a:prstGeom prst="rect">
                      <a:avLst/>
                    </a:prstGeom>
                    <a:noFill/>
                    <a:ln>
                      <a:noFill/>
                    </a:ln>
                  </pic:spPr>
                </pic:pic>
              </a:graphicData>
            </a:graphic>
          </wp:inline>
        </w:drawing>
      </w:r>
    </w:p>
    <w:p w:rsidR="00B46988" w:rsidRDefault="00B46988"/>
  </w:footnote>
  <w:footnote w:type="continuationSeparator" w:id="0">
    <w:p w:rsidR="00B46988" w:rsidRDefault="00B46988">
      <w:r>
        <w:continuationSeparator/>
      </w:r>
    </w:p>
    <w:p w:rsidR="00B46988" w:rsidRDefault="00B46988"/>
  </w:footnote>
  <w:footnote w:id="1">
    <w:p w:rsidR="002531DC" w:rsidRDefault="002531DC">
      <w:pPr>
        <w:pStyle w:val="Els-footnote"/>
        <w:ind w:firstLine="0"/>
        <w:jc w:val="left"/>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rsidR="002531DC" w:rsidRDefault="002531DC">
      <w:pPr>
        <w:pStyle w:val="Els-footnote"/>
        <w:ind w:firstLine="0"/>
        <w:jc w:val="left"/>
        <w:rPr>
          <w:rFonts w:hint="eastAsia"/>
          <w:lang w:eastAsia="zh-CN"/>
        </w:rPr>
      </w:pPr>
      <w:r>
        <w:rPr>
          <w:i/>
          <w:iCs/>
        </w:rPr>
        <w:t>E-mail address:</w:t>
      </w:r>
      <w:r>
        <w:t xml:space="preserve"> </w:t>
      </w:r>
      <w:r>
        <w:fldChar w:fldCharType="begin"/>
      </w:r>
      <w:r>
        <w:instrText xml:space="preserve"> MACROBUTTON NoMacro author@institute.xxx </w:instrTex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1DC" w:rsidRDefault="002531DC">
    <w:pPr>
      <w:pStyle w:val="Header"/>
      <w:tabs>
        <w:tab w:val="center" w:pos="4920"/>
      </w:tabs>
      <w:jc w:val="center"/>
      <w:rPr>
        <w:i w:val="0"/>
        <w:iCs/>
      </w:rPr>
    </w:pPr>
    <w:r>
      <w:fldChar w:fldCharType="begin"/>
    </w:r>
    <w:r>
      <w:instrText xml:space="preserve"> MACROBUTTON NoMacro Author name </w:instrText>
    </w:r>
    <w:r>
      <w:fldChar w:fldCharType="end"/>
    </w:r>
    <w:r>
      <w:t xml:space="preserve">/ </w:t>
    </w:r>
    <w:r w:rsidR="00596D6B">
      <w:t xml:space="preserve">HVIS Proceedings </w:t>
    </w:r>
    <w:r w:rsidR="00997EDF">
      <w:t xml:space="preserve">Vol </w:t>
    </w:r>
    <w:r w:rsidR="00596D6B">
      <w:t>15</w:t>
    </w:r>
    <w:r>
      <w:t xml:space="preserve"> (</w:t>
    </w:r>
    <w:r>
      <w:rPr>
        <w:rFonts w:hint="eastAsia"/>
        <w:lang w:eastAsia="zh-CN"/>
      </w:rPr>
      <w:t>20</w:t>
    </w:r>
    <w:r>
      <w:rPr>
        <w:lang w:eastAsia="zh-CN"/>
      </w:rPr>
      <w:t>1</w:t>
    </w:r>
    <w:r w:rsidR="00596D6B">
      <w:rPr>
        <w:lang w:eastAsia="zh-CN"/>
      </w:rPr>
      <w:t>9</w:t>
    </w:r>
    <w:r>
      <w:t>) 000–000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1DC" w:rsidRDefault="00BE461A" w:rsidP="00BE461A">
    <w:pPr>
      <w:pStyle w:val="Header"/>
      <w:tabs>
        <w:tab w:val="center" w:pos="4920"/>
      </w:tabs>
      <w:jc w:val="center"/>
    </w:pPr>
    <w:r>
      <w:fldChar w:fldCharType="begin"/>
    </w:r>
    <w:r>
      <w:instrText xml:space="preserve"> MACROBUTTON NoMacro Author name </w:instrText>
    </w:r>
    <w:r>
      <w:fldChar w:fldCharType="end"/>
    </w:r>
    <w:r>
      <w:t>/ HVIS Proceedings Vol 15 (</w:t>
    </w:r>
    <w:r>
      <w:rPr>
        <w:rFonts w:hint="eastAsia"/>
        <w:lang w:eastAsia="zh-CN"/>
      </w:rPr>
      <w:t>20</w:t>
    </w:r>
    <w:r>
      <w:rPr>
        <w:lang w:eastAsia="zh-CN"/>
      </w:rPr>
      <w:t>19</w:t>
    </w:r>
    <w:r>
      <w:t>) 000–000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A1" w:rsidRPr="00596D6B" w:rsidRDefault="00596D6B" w:rsidP="00596D6B">
    <w:pPr>
      <w:pStyle w:val="Header"/>
      <w:spacing w:before="0" w:beforeAutospacing="0" w:after="0" w:line="240" w:lineRule="auto"/>
      <w:jc w:val="right"/>
      <w:rPr>
        <w:b/>
        <w:i w:val="0"/>
        <w:sz w:val="24"/>
        <w:szCs w:val="24"/>
      </w:rPr>
    </w:pPr>
    <w:r w:rsidRPr="00596D6B">
      <w:rPr>
        <w:b/>
        <w:i w:val="0"/>
        <w:sz w:val="24"/>
        <w:szCs w:val="24"/>
      </w:rPr>
      <w:t>Proceedings of the 2019 Hypervelocity Impact Symposium</w:t>
    </w:r>
  </w:p>
  <w:p w:rsidR="005A02A1" w:rsidRPr="00596D6B" w:rsidRDefault="00596D6B" w:rsidP="00596D6B">
    <w:pPr>
      <w:pStyle w:val="Header"/>
      <w:spacing w:before="0" w:beforeAutospacing="0" w:after="0" w:line="240" w:lineRule="auto"/>
      <w:jc w:val="right"/>
      <w:rPr>
        <w:b/>
        <w:i w:val="0"/>
        <w:sz w:val="24"/>
        <w:szCs w:val="24"/>
      </w:rPr>
    </w:pPr>
    <w:r w:rsidRPr="00596D6B">
      <w:rPr>
        <w:b/>
        <w:i w:val="0"/>
        <w:sz w:val="24"/>
        <w:szCs w:val="24"/>
      </w:rPr>
      <w:t>HVIS2019</w:t>
    </w:r>
  </w:p>
  <w:p w:rsidR="00596D6B" w:rsidRPr="00596D6B" w:rsidRDefault="00596D6B" w:rsidP="00596D6B">
    <w:pPr>
      <w:pStyle w:val="Header"/>
      <w:spacing w:before="0" w:beforeAutospacing="0" w:after="0" w:line="240" w:lineRule="auto"/>
      <w:jc w:val="right"/>
      <w:rPr>
        <w:b/>
        <w:i w:val="0"/>
        <w:sz w:val="24"/>
        <w:szCs w:val="24"/>
      </w:rPr>
    </w:pPr>
    <w:r w:rsidRPr="00596D6B">
      <w:rPr>
        <w:b/>
        <w:i w:val="0"/>
        <w:sz w:val="24"/>
        <w:szCs w:val="24"/>
      </w:rPr>
      <w:t>April 14-19</w:t>
    </w:r>
    <w:r w:rsidR="005A02A1" w:rsidRPr="00596D6B">
      <w:rPr>
        <w:b/>
        <w:i w:val="0"/>
        <w:sz w:val="24"/>
        <w:szCs w:val="24"/>
      </w:rPr>
      <w:t>, 20</w:t>
    </w:r>
    <w:r>
      <w:rPr>
        <w:b/>
        <w:i w:val="0"/>
        <w:sz w:val="24"/>
        <w:szCs w:val="24"/>
      </w:rPr>
      <w:t>19</w:t>
    </w:r>
    <w:r w:rsidRPr="00596D6B">
      <w:rPr>
        <w:b/>
        <w:i w:val="0"/>
        <w:sz w:val="24"/>
        <w:szCs w:val="24"/>
      </w:rPr>
      <w:t>, Destin</w:t>
    </w:r>
    <w:r>
      <w:rPr>
        <w:b/>
        <w:i w:val="0"/>
        <w:sz w:val="24"/>
        <w:szCs w:val="24"/>
      </w:rPr>
      <w:t>,</w:t>
    </w:r>
    <w:r w:rsidRPr="00596D6B">
      <w:rPr>
        <w:b/>
        <w:i w:val="0"/>
        <w:sz w:val="24"/>
        <w:szCs w:val="24"/>
      </w:rPr>
      <w:t xml:space="preserve"> FL</w:t>
    </w:r>
    <w:r>
      <w:rPr>
        <w:b/>
        <w:i w:val="0"/>
        <w:sz w:val="24"/>
        <w:szCs w:val="24"/>
      </w:rPr>
      <w:t>,</w:t>
    </w:r>
    <w:r w:rsidRPr="00596D6B">
      <w:rPr>
        <w:b/>
        <w:i w:val="0"/>
        <w:sz w:val="24"/>
        <w:szCs w:val="24"/>
      </w:rPr>
      <w:t xml:space="preserve"> USA</w:t>
    </w:r>
  </w:p>
  <w:p w:rsidR="002531DC" w:rsidRPr="00596D6B" w:rsidRDefault="005A02A1" w:rsidP="00596D6B">
    <w:pPr>
      <w:pStyle w:val="Header"/>
      <w:spacing w:before="0" w:beforeAutospacing="0" w:after="0" w:line="240" w:lineRule="auto"/>
      <w:jc w:val="right"/>
      <w:rPr>
        <w:b/>
        <w:i w:val="0"/>
        <w:sz w:val="24"/>
        <w:szCs w:val="24"/>
      </w:rPr>
    </w:pPr>
    <w:r w:rsidRPr="00596D6B">
      <w:rPr>
        <w:b/>
        <w:i w:val="0"/>
        <w:sz w:val="24"/>
        <w:szCs w:val="24"/>
      </w:rPr>
      <w:t>HVIS2019</w:t>
    </w:r>
    <w:r w:rsidR="00596D6B" w:rsidRPr="00596D6B">
      <w:rPr>
        <w:b/>
        <w:i w:val="0"/>
        <w:sz w:val="24"/>
        <w:szCs w:val="24"/>
      </w:rPr>
      <w:t>-XXX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4767D67"/>
    <w:multiLevelType w:val="hybridMultilevel"/>
    <w:tmpl w:val="74EC0634"/>
    <w:lvl w:ilvl="0" w:tplc="04090001">
      <w:start w:val="1"/>
      <w:numFmt w:val="bullet"/>
      <w:lvlText w:val=""/>
      <w:lvlJc w:val="left"/>
      <w:pPr>
        <w:ind w:left="658" w:hanging="420"/>
      </w:pPr>
      <w:rPr>
        <w:rFonts w:ascii="Wingdings" w:hAnsi="Wingdings" w:hint="default"/>
      </w:rPr>
    </w:lvl>
    <w:lvl w:ilvl="1" w:tplc="04090003" w:tentative="1">
      <w:start w:val="1"/>
      <w:numFmt w:val="bullet"/>
      <w:lvlText w:val=""/>
      <w:lvlJc w:val="left"/>
      <w:pPr>
        <w:ind w:left="1078" w:hanging="420"/>
      </w:pPr>
      <w:rPr>
        <w:rFonts w:ascii="Wingdings" w:hAnsi="Wingdings" w:hint="default"/>
      </w:rPr>
    </w:lvl>
    <w:lvl w:ilvl="2" w:tplc="04090005" w:tentative="1">
      <w:start w:val="1"/>
      <w:numFmt w:val="bullet"/>
      <w:lvlText w:val=""/>
      <w:lvlJc w:val="left"/>
      <w:pPr>
        <w:ind w:left="1498" w:hanging="420"/>
      </w:pPr>
      <w:rPr>
        <w:rFonts w:ascii="Wingdings" w:hAnsi="Wingdings" w:hint="default"/>
      </w:rPr>
    </w:lvl>
    <w:lvl w:ilvl="3" w:tplc="04090001" w:tentative="1">
      <w:start w:val="1"/>
      <w:numFmt w:val="bullet"/>
      <w:lvlText w:val=""/>
      <w:lvlJc w:val="left"/>
      <w:pPr>
        <w:ind w:left="1918" w:hanging="420"/>
      </w:pPr>
      <w:rPr>
        <w:rFonts w:ascii="Wingdings" w:hAnsi="Wingdings" w:hint="default"/>
      </w:rPr>
    </w:lvl>
    <w:lvl w:ilvl="4" w:tplc="04090003" w:tentative="1">
      <w:start w:val="1"/>
      <w:numFmt w:val="bullet"/>
      <w:lvlText w:val=""/>
      <w:lvlJc w:val="left"/>
      <w:pPr>
        <w:ind w:left="2338" w:hanging="420"/>
      </w:pPr>
      <w:rPr>
        <w:rFonts w:ascii="Wingdings" w:hAnsi="Wingdings" w:hint="default"/>
      </w:rPr>
    </w:lvl>
    <w:lvl w:ilvl="5" w:tplc="04090005" w:tentative="1">
      <w:start w:val="1"/>
      <w:numFmt w:val="bullet"/>
      <w:lvlText w:val=""/>
      <w:lvlJc w:val="left"/>
      <w:pPr>
        <w:ind w:left="2758" w:hanging="420"/>
      </w:pPr>
      <w:rPr>
        <w:rFonts w:ascii="Wingdings" w:hAnsi="Wingdings" w:hint="default"/>
      </w:rPr>
    </w:lvl>
    <w:lvl w:ilvl="6" w:tplc="04090001" w:tentative="1">
      <w:start w:val="1"/>
      <w:numFmt w:val="bullet"/>
      <w:lvlText w:val=""/>
      <w:lvlJc w:val="left"/>
      <w:pPr>
        <w:ind w:left="3178" w:hanging="420"/>
      </w:pPr>
      <w:rPr>
        <w:rFonts w:ascii="Wingdings" w:hAnsi="Wingdings" w:hint="default"/>
      </w:rPr>
    </w:lvl>
    <w:lvl w:ilvl="7" w:tplc="04090003" w:tentative="1">
      <w:start w:val="1"/>
      <w:numFmt w:val="bullet"/>
      <w:lvlText w:val=""/>
      <w:lvlJc w:val="left"/>
      <w:pPr>
        <w:ind w:left="3598" w:hanging="420"/>
      </w:pPr>
      <w:rPr>
        <w:rFonts w:ascii="Wingdings" w:hAnsi="Wingdings" w:hint="default"/>
      </w:rPr>
    </w:lvl>
    <w:lvl w:ilvl="8" w:tplc="04090005" w:tentative="1">
      <w:start w:val="1"/>
      <w:numFmt w:val="bullet"/>
      <w:lvlText w:val=""/>
      <w:lvlJc w:val="left"/>
      <w:pPr>
        <w:ind w:left="4018" w:hanging="420"/>
      </w:pPr>
      <w:rPr>
        <w:rFonts w:ascii="Wingdings" w:hAnsi="Wingdings"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CE587A"/>
    <w:multiLevelType w:val="hybridMultilevel"/>
    <w:tmpl w:val="8E1085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156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8"/>
  </w:num>
  <w:num w:numId="3">
    <w:abstractNumId w:val="8"/>
  </w:num>
  <w:num w:numId="4">
    <w:abstractNumId w:val="8"/>
  </w:num>
  <w:num w:numId="5">
    <w:abstractNumId w:val="0"/>
  </w:num>
  <w:num w:numId="6">
    <w:abstractNumId w:val="3"/>
  </w:num>
  <w:num w:numId="7">
    <w:abstractNumId w:val="9"/>
  </w:num>
  <w:num w:numId="8">
    <w:abstractNumId w:val="1"/>
  </w:num>
  <w:num w:numId="9">
    <w:abstractNumId w:val="6"/>
  </w:num>
  <w:num w:numId="10">
    <w:abstractNumId w:val="13"/>
  </w:num>
  <w:num w:numId="11">
    <w:abstractNumId w:val="12"/>
  </w:num>
  <w:num w:numId="12">
    <w:abstractNumId w:val="8"/>
  </w:num>
  <w:num w:numId="13">
    <w:abstractNumId w:val="8"/>
  </w:num>
  <w:num w:numId="14">
    <w:abstractNumId w:val="8"/>
  </w:num>
  <w:num w:numId="15">
    <w:abstractNumId w:val="8"/>
  </w:num>
  <w:num w:numId="16">
    <w:abstractNumId w:val="0"/>
  </w:num>
  <w:num w:numId="17">
    <w:abstractNumId w:val="3"/>
  </w:num>
  <w:num w:numId="18">
    <w:abstractNumId w:val="9"/>
  </w:num>
  <w:num w:numId="19">
    <w:abstractNumId w:val="1"/>
  </w:num>
  <w:num w:numId="20">
    <w:abstractNumId w:val="6"/>
  </w:num>
  <w:num w:numId="21">
    <w:abstractNumId w:val="0"/>
  </w:num>
  <w:num w:numId="22">
    <w:abstractNumId w:val="8"/>
  </w:num>
  <w:num w:numId="23">
    <w:abstractNumId w:val="8"/>
  </w:num>
  <w:num w:numId="24">
    <w:abstractNumId w:val="8"/>
  </w:num>
  <w:num w:numId="25">
    <w:abstractNumId w:val="8"/>
  </w:num>
  <w:num w:numId="26">
    <w:abstractNumId w:val="10"/>
  </w:num>
  <w:num w:numId="27">
    <w:abstractNumId w:val="11"/>
  </w:num>
  <w:num w:numId="28">
    <w:abstractNumId w:val="4"/>
  </w:num>
  <w:num w:numId="29">
    <w:abstractNumId w:val="7"/>
  </w:num>
  <w:num w:numId="30">
    <w:abstractNumId w:val="5"/>
  </w:num>
  <w:num w:numId="31">
    <w:abstractNumId w:val="8"/>
  </w:num>
  <w:num w:numId="32">
    <w:abstractNumId w:val="8"/>
  </w:num>
  <w:num w:numId="33">
    <w:abstractNumId w:val="8"/>
  </w:num>
  <w:num w:numId="34">
    <w:abstractNumId w:val="8"/>
  </w:num>
  <w:num w:numId="35">
    <w:abstractNumId w:val="8"/>
  </w:num>
  <w:num w:numId="36">
    <w:abstractNumId w:val="2"/>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1B9"/>
    <w:rsid w:val="000804C1"/>
    <w:rsid w:val="00122EBC"/>
    <w:rsid w:val="00143F6B"/>
    <w:rsid w:val="002531DC"/>
    <w:rsid w:val="003507E0"/>
    <w:rsid w:val="00596D6B"/>
    <w:rsid w:val="0059724A"/>
    <w:rsid w:val="005A02A1"/>
    <w:rsid w:val="005D33D5"/>
    <w:rsid w:val="005F6D60"/>
    <w:rsid w:val="008575A7"/>
    <w:rsid w:val="00864E1A"/>
    <w:rsid w:val="00997EDF"/>
    <w:rsid w:val="00AB41B9"/>
    <w:rsid w:val="00AC05B3"/>
    <w:rsid w:val="00B46988"/>
    <w:rsid w:val="00BE461A"/>
    <w:rsid w:val="00CF4925"/>
    <w:rsid w:val="00DB0258"/>
    <w:rsid w:val="00DC1948"/>
    <w:rsid w:val="00F331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6922F1C-1227-4920-AB9A-A0FC0C5C8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lang w:val="en-GB"/>
    </w:rPr>
  </w:style>
  <w:style w:type="paragraph" w:styleId="Heading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before="240"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pPr>
      <w:suppressAutoHyphens/>
      <w:spacing w:after="240" w:line="400" w:lineRule="exact"/>
      <w:jc w:val="center"/>
    </w:pPr>
    <w:rPr>
      <w:sz w:val="34"/>
    </w:rPr>
  </w:style>
  <w:style w:type="character" w:styleId="EndnoteReference">
    <w:name w:val="endnote reference"/>
    <w:semiHidden/>
    <w:rPr>
      <w:vertAlign w:val="superscript"/>
    </w:rPr>
  </w:style>
  <w:style w:type="paragraph" w:styleId="Header">
    <w:name w:val="header"/>
    <w:semiHidden/>
    <w:pPr>
      <w:tabs>
        <w:tab w:val="center" w:pos="4706"/>
        <w:tab w:val="right" w:pos="9356"/>
      </w:tabs>
      <w:spacing w:before="100" w:beforeAutospacing="1" w:after="240" w:line="200" w:lineRule="atLeast"/>
    </w:pPr>
    <w:rPr>
      <w:i/>
      <w:noProof/>
      <w:sz w:val="16"/>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customStyle="1" w:styleId="BalloonText1">
    <w:name w:val="Balloon Text1"/>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customStyle="1" w:styleId="CommentSubject1">
    <w:name w:val="Comment Subject1"/>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alloonText">
    <w:name w:val="Balloon Text"/>
    <w:basedOn w:val="Normal"/>
    <w:semiHidden/>
    <w:unhideWhenUsed/>
    <w:rPr>
      <w:sz w:val="18"/>
      <w:szCs w:val="18"/>
    </w:rPr>
  </w:style>
  <w:style w:type="character" w:customStyle="1" w:styleId="BalloonTextChar1">
    <w:name w:val="Balloon Text Char1"/>
    <w:semiHidden/>
    <w:rPr>
      <w:sz w:val="18"/>
      <w:szCs w:val="18"/>
      <w:lang w:val="en-GB" w:eastAsia="en-US"/>
    </w:rPr>
  </w:style>
  <w:style w:type="paragraph" w:styleId="CommentSubject">
    <w:name w:val="annotation subject"/>
    <w:basedOn w:val="CommentText"/>
    <w:next w:val="CommentText"/>
    <w:semiHidden/>
    <w:unhideWhenUsed/>
    <w:rPr>
      <w:b/>
      <w:bCs/>
    </w:rPr>
  </w:style>
  <w:style w:type="character" w:customStyle="1" w:styleId="CommentTextChar1">
    <w:name w:val="Comment Text Char1"/>
    <w:semiHidden/>
    <w:rPr>
      <w:lang w:val="en-GB"/>
    </w:rPr>
  </w:style>
  <w:style w:type="character" w:customStyle="1" w:styleId="CommentSubjectChar1">
    <w:name w:val="Comment Subject Char1"/>
    <w:basedOn w:val="CommentTextChar1"/>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018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oleObject" Target="embeddings/oleObject3.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newtemplate</Template>
  <TotalTime>1</TotalTime>
  <Pages>5</Pages>
  <Words>1824</Words>
  <Characters>10400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Article</vt:lpstr>
    </vt:vector>
  </TitlesOfParts>
  <Company>U.S. Army</Company>
  <LinksUpToDate>false</LinksUpToDate>
  <CharactersWithSpaces>12200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Littlefield, David L</cp:lastModifiedBy>
  <cp:revision>2</cp:revision>
  <cp:lastPrinted>2012-03-02T19:16:00Z</cp:lastPrinted>
  <dcterms:created xsi:type="dcterms:W3CDTF">2018-10-30T11:51:00Z</dcterms:created>
  <dcterms:modified xsi:type="dcterms:W3CDTF">2018-10-30T11:51:00Z</dcterms:modified>
</cp:coreProperties>
</file>